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55" w:rsidRDefault="00D84B55">
      <w:pPr>
        <w:pStyle w:val="ConsPlusTitlePage"/>
      </w:pPr>
      <w:r>
        <w:t xml:space="preserve">Документ предоставлен </w:t>
      </w:r>
      <w:hyperlink r:id="rId5">
        <w:r>
          <w:rPr>
            <w:color w:val="0000FF"/>
          </w:rPr>
          <w:t>КонсультантПлюс</w:t>
        </w:r>
      </w:hyperlink>
      <w:r>
        <w:br/>
      </w:r>
    </w:p>
    <w:p w:rsidR="00D84B55" w:rsidRDefault="00D84B55">
      <w:pPr>
        <w:pStyle w:val="ConsPlusNormal"/>
        <w:jc w:val="both"/>
        <w:outlineLvl w:val="0"/>
      </w:pPr>
    </w:p>
    <w:p w:rsidR="00D84B55" w:rsidRDefault="00D84B55">
      <w:pPr>
        <w:pStyle w:val="ConsPlusNormal"/>
        <w:outlineLvl w:val="0"/>
      </w:pPr>
      <w:r>
        <w:t>Зарегистрировано в Минюсте России 19 августа 2022 г. N 69710</w:t>
      </w:r>
    </w:p>
    <w:p w:rsidR="00D84B55" w:rsidRDefault="00D84B55">
      <w:pPr>
        <w:pStyle w:val="ConsPlusNormal"/>
        <w:pBdr>
          <w:bottom w:val="single" w:sz="6" w:space="0" w:color="auto"/>
        </w:pBdr>
        <w:spacing w:before="100" w:after="100"/>
        <w:jc w:val="both"/>
        <w:rPr>
          <w:sz w:val="2"/>
          <w:szCs w:val="2"/>
        </w:rPr>
      </w:pPr>
    </w:p>
    <w:p w:rsidR="00D84B55" w:rsidRDefault="00D84B55">
      <w:pPr>
        <w:pStyle w:val="ConsPlusNormal"/>
        <w:jc w:val="both"/>
      </w:pPr>
    </w:p>
    <w:p w:rsidR="00D84B55" w:rsidRDefault="00D84B55">
      <w:pPr>
        <w:pStyle w:val="ConsPlusTitle"/>
        <w:jc w:val="center"/>
      </w:pPr>
      <w:r>
        <w:t>ФЕДЕРАЛЬНАЯ АНТИМОНОПОЛЬНАЯ СЛУЖБА</w:t>
      </w:r>
    </w:p>
    <w:p w:rsidR="00D84B55" w:rsidRDefault="00D84B55">
      <w:pPr>
        <w:pStyle w:val="ConsPlusTitle"/>
        <w:jc w:val="center"/>
      </w:pPr>
    </w:p>
    <w:p w:rsidR="00D84B55" w:rsidRDefault="00D84B55">
      <w:pPr>
        <w:pStyle w:val="ConsPlusTitle"/>
        <w:jc w:val="center"/>
      </w:pPr>
      <w:r>
        <w:t>ПРИКАЗ</w:t>
      </w:r>
    </w:p>
    <w:p w:rsidR="00D84B55" w:rsidRDefault="00D84B55">
      <w:pPr>
        <w:pStyle w:val="ConsPlusTitle"/>
        <w:jc w:val="center"/>
      </w:pPr>
      <w:r>
        <w:t>от 30 июня 2022 г. N 490/22</w:t>
      </w:r>
    </w:p>
    <w:p w:rsidR="00D84B55" w:rsidRDefault="00D84B55">
      <w:pPr>
        <w:pStyle w:val="ConsPlusTitle"/>
        <w:jc w:val="center"/>
      </w:pPr>
    </w:p>
    <w:p w:rsidR="00D84B55" w:rsidRDefault="00D84B55">
      <w:pPr>
        <w:pStyle w:val="ConsPlusTitle"/>
        <w:jc w:val="center"/>
      </w:pPr>
      <w:r>
        <w:t>ОБ УТВЕРЖДЕНИИ МЕТОДИЧЕСКИХ УКАЗАНИЙ</w:t>
      </w:r>
    </w:p>
    <w:p w:rsidR="00D84B55" w:rsidRDefault="00D84B55">
      <w:pPr>
        <w:pStyle w:val="ConsPlusTitle"/>
        <w:jc w:val="center"/>
      </w:pPr>
      <w:r>
        <w:t xml:space="preserve">ПО ОПРЕДЕЛЕНИЮ РАЗМЕРА ПЛАТЫ ЗА </w:t>
      </w:r>
      <w:proofErr w:type="gramStart"/>
      <w:r>
        <w:t>ТЕХНОЛОГИЧЕСКОЕ</w:t>
      </w:r>
      <w:proofErr w:type="gramEnd"/>
    </w:p>
    <w:p w:rsidR="00D84B55" w:rsidRDefault="00D84B55">
      <w:pPr>
        <w:pStyle w:val="ConsPlusTitle"/>
        <w:jc w:val="center"/>
      </w:pPr>
      <w:r>
        <w:t>ПРИСОЕДИНЕНИЕ К ЭЛЕКТРИЧЕСКИМ СЕТЯМ</w:t>
      </w:r>
    </w:p>
    <w:p w:rsidR="00D84B55" w:rsidRDefault="00D84B55">
      <w:pPr>
        <w:pStyle w:val="ConsPlusNormal"/>
        <w:jc w:val="both"/>
      </w:pPr>
    </w:p>
    <w:p w:rsidR="00D84B55" w:rsidRDefault="00D84B55">
      <w:pPr>
        <w:pStyle w:val="ConsPlusNormal"/>
        <w:ind w:firstLine="540"/>
        <w:jc w:val="both"/>
      </w:pPr>
      <w:r>
        <w:t xml:space="preserve">В соответствии с </w:t>
      </w:r>
      <w:hyperlink r:id="rId6">
        <w:r>
          <w:rPr>
            <w:color w:val="0000FF"/>
          </w:rPr>
          <w:t>абзацем четвертым пункта 2 статьи 24</w:t>
        </w:r>
      </w:hyperlink>
      <w:r>
        <w:t xml:space="preserve"> Федерального закона от 26 марта 2003 г. N 35-ФЗ "Об электроэнергетике" (Собрание законодательства Российской Федерации, 2003, N 13, ст. 1177; </w:t>
      </w:r>
      <w:proofErr w:type="gramStart"/>
      <w:r>
        <w:t xml:space="preserve">2010, N 31, ст. 4156), </w:t>
      </w:r>
      <w:hyperlink r:id="rId7">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2022, N 27, ст. 4863), приказываю:</w:t>
      </w:r>
      <w:proofErr w:type="gramEnd"/>
    </w:p>
    <w:p w:rsidR="00D84B55" w:rsidRDefault="00D84B55">
      <w:pPr>
        <w:pStyle w:val="ConsPlusNormal"/>
        <w:spacing w:before="200"/>
        <w:ind w:firstLine="540"/>
        <w:jc w:val="both"/>
      </w:pPr>
      <w:r>
        <w:t xml:space="preserve">1. Утвердить Методические </w:t>
      </w:r>
      <w:hyperlink w:anchor="P34">
        <w:r>
          <w:rPr>
            <w:color w:val="0000FF"/>
          </w:rPr>
          <w:t>указания</w:t>
        </w:r>
      </w:hyperlink>
      <w:r>
        <w:t xml:space="preserve"> по определению размера платы за технологическое присоединение к электрическим сетям согласно приложению к настоящему приказу.</w:t>
      </w:r>
    </w:p>
    <w:p w:rsidR="00D84B55" w:rsidRDefault="00D84B55">
      <w:pPr>
        <w:pStyle w:val="ConsPlusNormal"/>
        <w:spacing w:before="200"/>
        <w:ind w:firstLine="540"/>
        <w:jc w:val="both"/>
      </w:pPr>
      <w:r>
        <w:t>2. Признать утратившими силу приказы ФАС России:</w:t>
      </w:r>
    </w:p>
    <w:p w:rsidR="00D84B55" w:rsidRDefault="00D84B55">
      <w:pPr>
        <w:pStyle w:val="ConsPlusNormal"/>
        <w:spacing w:before="200"/>
        <w:ind w:firstLine="540"/>
        <w:jc w:val="both"/>
      </w:pPr>
      <w:r>
        <w:t xml:space="preserve">- от 29 августа 2017 г. </w:t>
      </w:r>
      <w:hyperlink r:id="rId8">
        <w:r>
          <w:rPr>
            <w:color w:val="0000FF"/>
          </w:rPr>
          <w:t>N 1135/17</w:t>
        </w:r>
      </w:hyperlink>
      <w:r>
        <w:t xml:space="preserve"> "Об утверждении Методических указаний по определению размера платы за технологическое присоединение к электрическим сетям" (зарегистрирован Минюстом России 19 октября 2017 г., регистрационный N 48609);</w:t>
      </w:r>
    </w:p>
    <w:p w:rsidR="00D84B55" w:rsidRDefault="00D84B55">
      <w:pPr>
        <w:pStyle w:val="ConsPlusNormal"/>
        <w:spacing w:before="200"/>
        <w:ind w:firstLine="540"/>
        <w:jc w:val="both"/>
      </w:pPr>
      <w:r>
        <w:t xml:space="preserve">- от 1 апреля 2020 г. </w:t>
      </w:r>
      <w:hyperlink r:id="rId9">
        <w:r>
          <w:rPr>
            <w:color w:val="0000FF"/>
          </w:rPr>
          <w:t>N 348/20</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Федеральной антимонопольной службы от 29 августа 2017 г. N 1135/17" (зарегистрирован Минюстом России 17 июня 2020 г., регистрационный N 58683);</w:t>
      </w:r>
    </w:p>
    <w:p w:rsidR="00D84B55" w:rsidRDefault="00D84B55">
      <w:pPr>
        <w:pStyle w:val="ConsPlusNormal"/>
        <w:spacing w:before="200"/>
        <w:ind w:firstLine="540"/>
        <w:jc w:val="both"/>
      </w:pPr>
      <w:r>
        <w:t xml:space="preserve">- от 22 июня 2020 г. </w:t>
      </w:r>
      <w:hyperlink r:id="rId10">
        <w:r>
          <w:rPr>
            <w:color w:val="0000FF"/>
          </w:rPr>
          <w:t>N 560/20</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Федеральной антимонопольной службы от 29 августа 2017 г. N 1135/17" (зарегистрирован Минюстом России 24 июля 2020 г., регистрационный N 59062);</w:t>
      </w:r>
    </w:p>
    <w:p w:rsidR="00D84B55" w:rsidRDefault="00D84B55">
      <w:pPr>
        <w:pStyle w:val="ConsPlusNormal"/>
        <w:spacing w:before="200"/>
        <w:ind w:firstLine="540"/>
        <w:jc w:val="both"/>
      </w:pPr>
      <w:r>
        <w:t xml:space="preserve">- от 21 апреля 2021 г. </w:t>
      </w:r>
      <w:hyperlink r:id="rId11">
        <w:r>
          <w:rPr>
            <w:color w:val="0000FF"/>
          </w:rPr>
          <w:t>N 373/21</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ФАС России от 29 августа 2017 г. N 1135/17" (зарегистрирован Минюстом России 21 мая 2021 г., регистрационный N 63561);</w:t>
      </w:r>
    </w:p>
    <w:p w:rsidR="00D84B55" w:rsidRDefault="00D84B55">
      <w:pPr>
        <w:pStyle w:val="ConsPlusNormal"/>
        <w:spacing w:before="200"/>
        <w:ind w:firstLine="540"/>
        <w:jc w:val="both"/>
      </w:pPr>
      <w:r>
        <w:t xml:space="preserve">- от 1 декабря 2021 г. </w:t>
      </w:r>
      <w:hyperlink r:id="rId12">
        <w:r>
          <w:rPr>
            <w:color w:val="0000FF"/>
          </w:rPr>
          <w:t>N 1336/21</w:t>
        </w:r>
      </w:hyperlink>
      <w:r>
        <w:t xml:space="preserve"> "О внесении изменения в Методические указания по определению размера платы за технологическое присоединение к электрическим сетям, утвержденные приказом ФАС России от 29 августа 2017 г. N 1135/17" (зарегистрирован Минюстом России 30 декабря 2021 г., регистрационный N 66696).</w:t>
      </w:r>
    </w:p>
    <w:p w:rsidR="00D84B55" w:rsidRDefault="00D84B55">
      <w:pPr>
        <w:pStyle w:val="ConsPlusNormal"/>
        <w:spacing w:before="200"/>
        <w:ind w:firstLine="540"/>
        <w:jc w:val="both"/>
      </w:pPr>
      <w:r>
        <w:t>3. Контроль исполнения настоящего приказа возложить на заместителя руководителя ФАС России В.Г. Королева.</w:t>
      </w:r>
    </w:p>
    <w:p w:rsidR="00D84B55" w:rsidRDefault="00D84B55">
      <w:pPr>
        <w:pStyle w:val="ConsPlusNormal"/>
        <w:jc w:val="both"/>
      </w:pPr>
    </w:p>
    <w:p w:rsidR="00D84B55" w:rsidRDefault="00D84B55">
      <w:pPr>
        <w:pStyle w:val="ConsPlusNormal"/>
        <w:jc w:val="right"/>
      </w:pPr>
      <w:r>
        <w:t>Руководитель</w:t>
      </w:r>
    </w:p>
    <w:p w:rsidR="00D84B55" w:rsidRDefault="00D84B55">
      <w:pPr>
        <w:pStyle w:val="ConsPlusNormal"/>
        <w:jc w:val="right"/>
      </w:pPr>
      <w:r>
        <w:t>М.А.ШАСКОЛЬСКИЙ</w:t>
      </w: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right"/>
        <w:outlineLvl w:val="0"/>
      </w:pPr>
      <w:r>
        <w:t>Приложение</w:t>
      </w:r>
    </w:p>
    <w:p w:rsidR="00D84B55" w:rsidRDefault="00D84B55">
      <w:pPr>
        <w:pStyle w:val="ConsPlusNormal"/>
        <w:jc w:val="right"/>
      </w:pPr>
      <w:r>
        <w:t>к приказу ФАС России</w:t>
      </w:r>
    </w:p>
    <w:p w:rsidR="00D84B55" w:rsidRDefault="00D84B55">
      <w:pPr>
        <w:pStyle w:val="ConsPlusNormal"/>
        <w:jc w:val="right"/>
      </w:pPr>
      <w:r>
        <w:t>от 30.06.2022 N 490/22</w:t>
      </w:r>
    </w:p>
    <w:p w:rsidR="00D84B55" w:rsidRDefault="00D84B55">
      <w:pPr>
        <w:pStyle w:val="ConsPlusNormal"/>
        <w:jc w:val="both"/>
      </w:pPr>
    </w:p>
    <w:p w:rsidR="00D84B55" w:rsidRDefault="00D84B55">
      <w:pPr>
        <w:pStyle w:val="ConsPlusTitle"/>
        <w:jc w:val="center"/>
      </w:pPr>
      <w:bookmarkStart w:id="0" w:name="P34"/>
      <w:bookmarkEnd w:id="0"/>
      <w:r>
        <w:t>МЕТОДИЧЕСКИЕ УКАЗАНИЯ</w:t>
      </w:r>
    </w:p>
    <w:p w:rsidR="00D84B55" w:rsidRDefault="00D84B55">
      <w:pPr>
        <w:pStyle w:val="ConsPlusTitle"/>
        <w:jc w:val="center"/>
      </w:pPr>
      <w:r>
        <w:t xml:space="preserve">ПО ОПРЕДЕЛЕНИЮ РАЗМЕРА ПЛАТЫ ЗА </w:t>
      </w:r>
      <w:proofErr w:type="gramStart"/>
      <w:r>
        <w:t>ТЕХНОЛОГИЧЕСКОЕ</w:t>
      </w:r>
      <w:proofErr w:type="gramEnd"/>
    </w:p>
    <w:p w:rsidR="00D84B55" w:rsidRDefault="00D84B55">
      <w:pPr>
        <w:pStyle w:val="ConsPlusTitle"/>
        <w:jc w:val="center"/>
      </w:pPr>
      <w:r>
        <w:t>ПРИСОЕДИНЕНИЕ К ЭЛЕКТРИЧЕСКИМ СЕТЯМ</w:t>
      </w:r>
    </w:p>
    <w:p w:rsidR="00D84B55" w:rsidRDefault="00D84B55">
      <w:pPr>
        <w:pStyle w:val="ConsPlusNormal"/>
        <w:jc w:val="both"/>
      </w:pPr>
    </w:p>
    <w:p w:rsidR="00D84B55" w:rsidRDefault="00D84B55">
      <w:pPr>
        <w:pStyle w:val="ConsPlusTitle"/>
        <w:jc w:val="center"/>
        <w:outlineLvl w:val="1"/>
      </w:pPr>
      <w:r>
        <w:t>I. Общие положения</w:t>
      </w:r>
    </w:p>
    <w:p w:rsidR="00D84B55" w:rsidRDefault="00D84B55">
      <w:pPr>
        <w:pStyle w:val="ConsPlusNormal"/>
        <w:jc w:val="both"/>
      </w:pPr>
    </w:p>
    <w:p w:rsidR="00D84B55" w:rsidRDefault="00D84B55">
      <w:pPr>
        <w:pStyle w:val="ConsPlusNormal"/>
        <w:ind w:firstLine="540"/>
        <w:jc w:val="both"/>
      </w:pPr>
      <w:r>
        <w:t xml:space="preserve">1. </w:t>
      </w:r>
      <w:proofErr w:type="gramStart"/>
      <w:r>
        <w:t>Настоящие Методические указания по определению размера платы за технологическое присоединение к электрическим сетям (далее - Методические указания) определяют основные положения по расчету размера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Устройства) к объектам электросетевого хозяйства сетевых организаций (далее - плата за технологическое присоединение</w:t>
      </w:r>
      <w:proofErr w:type="gramEnd"/>
      <w:r>
        <w:t>), и предназначены для использования Федеральной антимонопольной службой, органами исполнительной власти субъектов Российской Федерации в области государственного регулирования тарифов, сетевыми организациями, а также лицами, обратившимися к сетевым организациям с заявками на технологическое присоединение Устройств к объектам электросетевого хозяйства сетевых организаций (далее - Заявители).</w:t>
      </w:r>
    </w:p>
    <w:p w:rsidR="00D84B55" w:rsidRDefault="00D84B55">
      <w:pPr>
        <w:pStyle w:val="ConsPlusNormal"/>
        <w:spacing w:before="200"/>
        <w:ind w:firstLine="540"/>
        <w:jc w:val="both"/>
      </w:pPr>
      <w:r>
        <w:t xml:space="preserve">2. </w:t>
      </w:r>
      <w:proofErr w:type="gramStart"/>
      <w:r>
        <w:t>Плата за технологическое присоединение рассчитывается в случаях присоединения впервые вводимых в эксплуатацию, ранее присоединенных Устройств, максимальная мощность которых увеличивается, а также в случаях, при которых в отношении ранее присоединенных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Устройств.</w:t>
      </w:r>
      <w:proofErr w:type="gramEnd"/>
    </w:p>
    <w:p w:rsidR="00D84B55" w:rsidRDefault="00D84B55">
      <w:pPr>
        <w:pStyle w:val="ConsPlusNormal"/>
        <w:spacing w:before="200"/>
        <w:ind w:firstLine="540"/>
        <w:jc w:val="both"/>
      </w:pPr>
      <w:r>
        <w:t>Плата за технологическое присоединение рассчитывается также в случаях присоединения энергопринимающих устройств, находящихся в помещениях, расположенных в многоквартирном доме,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w:t>
      </w:r>
    </w:p>
    <w:p w:rsidR="00D84B55" w:rsidRDefault="00D84B55">
      <w:pPr>
        <w:pStyle w:val="ConsPlusNormal"/>
        <w:spacing w:before="200"/>
        <w:ind w:firstLine="540"/>
        <w:jc w:val="both"/>
      </w:pPr>
      <w:r>
        <w:t>3. 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 у которых изменяется категория надежности.</w:t>
      </w:r>
    </w:p>
    <w:p w:rsidR="00D84B55" w:rsidRDefault="00D84B55">
      <w:pPr>
        <w:pStyle w:val="ConsPlusNormal"/>
        <w:spacing w:before="200"/>
        <w:ind w:firstLine="540"/>
        <w:jc w:val="both"/>
      </w:pPr>
      <w:r>
        <w:t>Плата за технологическое присоединение в случаях изменения схемы внешнего электроснабжения, не влекущих пересмотр величины максимальной мощности в результате изменения точек присоединения, видов производственной деятельности, рассчитывается за объем максимальной мощности, указанный в заявке на технологическое присоединение.</w:t>
      </w:r>
    </w:p>
    <w:p w:rsidR="00D84B55" w:rsidRDefault="00D84B55">
      <w:pPr>
        <w:pStyle w:val="ConsPlusNormal"/>
        <w:spacing w:before="200"/>
        <w:ind w:firstLine="540"/>
        <w:jc w:val="both"/>
      </w:pPr>
      <w:r>
        <w:t>4. Плата за технологическое присоединение взимается однократно.</w:t>
      </w:r>
    </w:p>
    <w:p w:rsidR="00D84B55" w:rsidRDefault="00D84B55">
      <w:pPr>
        <w:pStyle w:val="ConsPlusNormal"/>
        <w:spacing w:before="200"/>
        <w:ind w:firstLine="540"/>
        <w:jc w:val="both"/>
      </w:pPr>
      <w:r>
        <w:t>5. Плата за технологическое присоединение к объектам, входящим в Единую национальную (общероссийскую) электрическую сеть (далее - ЕНЭС), устанавливается:</w:t>
      </w:r>
    </w:p>
    <w:p w:rsidR="00D84B55" w:rsidRDefault="00D84B55">
      <w:pPr>
        <w:pStyle w:val="ConsPlusNormal"/>
        <w:spacing w:before="200"/>
        <w:ind w:firstLine="540"/>
        <w:jc w:val="both"/>
      </w:pPr>
      <w:r>
        <w:t>1) индивидуально для конкретного Заявителя при обращении в Федеральную антимонопольную службу при необходимости выполнения сетевой организацией мероприятий по строительству объектов электросетевого хозяйства от существующих электрических сетей, отнесенных к единой национальной (общероссийской) электрической сети, до энергопринимающих устройств потребителей электрической энергии или объектов электросетевого хозяйства, принадлежащих сетевым организациям и иным лицам;</w:t>
      </w:r>
    </w:p>
    <w:p w:rsidR="00D84B55" w:rsidRDefault="00D84B55">
      <w:pPr>
        <w:pStyle w:val="ConsPlusNormal"/>
        <w:spacing w:before="200"/>
        <w:ind w:firstLine="540"/>
        <w:jc w:val="both"/>
      </w:pPr>
      <w:r>
        <w:t>2) в виде формулы, учитывающей расходы на осуществление мероприятий, включаемых в стандартизированную тарифную ставку С</w:t>
      </w:r>
      <w:proofErr w:type="gramStart"/>
      <w:r>
        <w:rPr>
          <w:vertAlign w:val="subscript"/>
        </w:rPr>
        <w:t>1</w:t>
      </w:r>
      <w:proofErr w:type="gramEnd"/>
      <w:r>
        <w:t xml:space="preserve">, указанную в </w:t>
      </w:r>
      <w:hyperlink w:anchor="P206">
        <w:r>
          <w:rPr>
            <w:color w:val="0000FF"/>
          </w:rPr>
          <w:t>пункте 26</w:t>
        </w:r>
      </w:hyperlink>
      <w:r>
        <w:t xml:space="preserve"> Методических указаний, и стандартизированную тарифную ставку С</w:t>
      </w:r>
      <w:r>
        <w:rPr>
          <w:vertAlign w:val="subscript"/>
        </w:rPr>
        <w:t>8</w:t>
      </w:r>
      <w:r>
        <w:t xml:space="preserve">, указанную в </w:t>
      </w:r>
      <w:hyperlink w:anchor="P210">
        <w:r>
          <w:rPr>
            <w:color w:val="0000FF"/>
          </w:rPr>
          <w:t>пункте 27</w:t>
        </w:r>
      </w:hyperlink>
      <w:r>
        <w:t xml:space="preserve"> Методических указаний, и расходы на осуществление мероприятий, связанных с развитием существующей инфраструктуры, в том числе связей между объектами единой национальной (общероссийской) электрической сети, и со строительством объектов электросетевого хозяйства от существующих объектов электросетевого хозяйства до присоединяемых объектов электроэнергетики, определяемые сетевой организацией по сметам, выполненным с применением сметных нормативов, входящим в состав проектной документации, получившей положительное заключение экспертизы проектной документации в соответствии со </w:t>
      </w:r>
      <w:hyperlink r:id="rId13">
        <w:r>
          <w:rPr>
            <w:color w:val="0000FF"/>
          </w:rPr>
          <w:t>статьей 49</w:t>
        </w:r>
      </w:hyperlink>
      <w:r>
        <w:t xml:space="preserve"> Градостроительного кодекса Российской Федерации (Собрание законодательства Российской Федерации, 2005, N 1, ст. 16; </w:t>
      </w:r>
      <w:proofErr w:type="gramStart"/>
      <w:r>
        <w:t>2022, N 1, ст. 45), в случае технологического присоединения объектов по производству электрической энергии;</w:t>
      </w:r>
      <w:proofErr w:type="gramEnd"/>
    </w:p>
    <w:p w:rsidR="00D84B55" w:rsidRDefault="00D84B55">
      <w:pPr>
        <w:pStyle w:val="ConsPlusNormal"/>
        <w:spacing w:before="200"/>
        <w:ind w:firstLine="540"/>
        <w:jc w:val="both"/>
      </w:pPr>
      <w:r>
        <w:t>3) в виде формулы, учитывающей расходы на осуществление мероприятий, включаемых в стандартизированную тарифную ставку С</w:t>
      </w:r>
      <w:proofErr w:type="gramStart"/>
      <w:r>
        <w:rPr>
          <w:vertAlign w:val="subscript"/>
        </w:rPr>
        <w:t>1</w:t>
      </w:r>
      <w:proofErr w:type="gramEnd"/>
      <w:r>
        <w:t xml:space="preserve">, указанную в </w:t>
      </w:r>
      <w:hyperlink w:anchor="P206">
        <w:r>
          <w:rPr>
            <w:color w:val="0000FF"/>
          </w:rPr>
          <w:t>пункте 26</w:t>
        </w:r>
      </w:hyperlink>
      <w:r>
        <w:t xml:space="preserve"> Методических указаний, и стандартизированную тарифную ставку С</w:t>
      </w:r>
      <w:r>
        <w:rPr>
          <w:vertAlign w:val="subscript"/>
        </w:rPr>
        <w:t>8</w:t>
      </w:r>
      <w:r>
        <w:t xml:space="preserve">, указанную в </w:t>
      </w:r>
      <w:hyperlink w:anchor="P210">
        <w:r>
          <w:rPr>
            <w:color w:val="0000FF"/>
          </w:rPr>
          <w:t>пункте 27</w:t>
        </w:r>
      </w:hyperlink>
      <w:r>
        <w:t xml:space="preserve"> Методических указаний, в случае технологического присоединения энергопринимающих устройств потребителей электрической энергии или объектов электросетевого хозяйства, принадлежащих сетевым организациям и иным лицам, при отсутствии необходимости выполнения сетевой организацией мероприятий по строительству объектов электросетевого хозяйства от существующих электрических сетей до присоединяемых энергопринимающих устройств или объектов электросетевого хозяйства.</w:t>
      </w:r>
    </w:p>
    <w:p w:rsidR="00D84B55" w:rsidRDefault="00D84B55">
      <w:pPr>
        <w:pStyle w:val="ConsPlusNormal"/>
        <w:spacing w:before="200"/>
        <w:ind w:firstLine="540"/>
        <w:jc w:val="both"/>
      </w:pPr>
      <w:r>
        <w:t xml:space="preserve">6. Плата за технологическое присоединение к территориальным распределительным сетям определяется исходя </w:t>
      </w:r>
      <w:proofErr w:type="gramStart"/>
      <w:r>
        <w:t>из</w:t>
      </w:r>
      <w:proofErr w:type="gramEnd"/>
      <w:r>
        <w:t>:</w:t>
      </w:r>
    </w:p>
    <w:p w:rsidR="00D84B55" w:rsidRDefault="00D84B55">
      <w:pPr>
        <w:pStyle w:val="ConsPlusNormal"/>
        <w:spacing w:before="200"/>
        <w:ind w:firstLine="540"/>
        <w:jc w:val="both"/>
      </w:pPr>
      <w:proofErr w:type="gramStart"/>
      <w:r>
        <w:t xml:space="preserve">1) льготной ставки за 1 кВт запрашиваемой максимальной мощности, предусмотренной </w:t>
      </w:r>
      <w:hyperlink r:id="rId14">
        <w:r>
          <w:rPr>
            <w:color w:val="0000FF"/>
          </w:rPr>
          <w:t>абзацем восьмым пункта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2022, N 27, ст. 4863) (далее - Основы ценообразования);</w:t>
      </w:r>
      <w:proofErr w:type="gramEnd"/>
    </w:p>
    <w:p w:rsidR="00D84B55" w:rsidRDefault="00D84B55">
      <w:pPr>
        <w:pStyle w:val="ConsPlusNormal"/>
        <w:spacing w:before="200"/>
        <w:ind w:firstLine="540"/>
        <w:jc w:val="both"/>
      </w:pPr>
      <w:r>
        <w:t xml:space="preserve">2) формулы платы за технологическое присоединение с применением стандартизированных тарифных ставок согласно </w:t>
      </w:r>
      <w:hyperlink w:anchor="P118">
        <w:r>
          <w:rPr>
            <w:color w:val="0000FF"/>
          </w:rPr>
          <w:t>главе II</w:t>
        </w:r>
      </w:hyperlink>
      <w:r>
        <w:t xml:space="preserve"> Методических указаний;</w:t>
      </w:r>
    </w:p>
    <w:p w:rsidR="00D84B55" w:rsidRDefault="00D84B55">
      <w:pPr>
        <w:pStyle w:val="ConsPlusNormal"/>
        <w:spacing w:before="200"/>
        <w:ind w:firstLine="540"/>
        <w:jc w:val="both"/>
      </w:pPr>
      <w:proofErr w:type="gramStart"/>
      <w:r>
        <w:t xml:space="preserve">3) решения об установления платы за технологическое присоединение по индивидуальному проекту в случаях, предусмотренных </w:t>
      </w:r>
      <w:hyperlink r:id="rId15">
        <w:r>
          <w:rPr>
            <w:color w:val="0000FF"/>
          </w:rPr>
          <w:t>разделом 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(Собрание законодательства Российской Федерации, 2004</w:t>
      </w:r>
      <w:proofErr w:type="gramEnd"/>
      <w:r>
        <w:t xml:space="preserve">, </w:t>
      </w:r>
      <w:proofErr w:type="gramStart"/>
      <w:r>
        <w:t xml:space="preserve">N 52, ст. 5525; 2022, N 1, ст. 255) (далее - Правила технологического присоединения), в соответствии с </w:t>
      </w:r>
      <w:hyperlink w:anchor="P377">
        <w:r>
          <w:rPr>
            <w:color w:val="0000FF"/>
          </w:rPr>
          <w:t>главой III</w:t>
        </w:r>
      </w:hyperlink>
      <w:r>
        <w:t xml:space="preserve"> Методических указаний.</w:t>
      </w:r>
      <w:proofErr w:type="gramEnd"/>
    </w:p>
    <w:p w:rsidR="00D84B55" w:rsidRDefault="00D84B55">
      <w:pPr>
        <w:pStyle w:val="ConsPlusNormal"/>
        <w:spacing w:before="200"/>
        <w:ind w:firstLine="540"/>
        <w:jc w:val="both"/>
      </w:pPr>
      <w:r>
        <w:t xml:space="preserve">7. </w:t>
      </w:r>
      <w:proofErr w:type="gramStart"/>
      <w:r>
        <w:t>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 в целях присоединения новых и (или) увеличения мощности Устройств, присоединенных ранее, не учитывается при установлении платы за технологическое присоединение к электрическим сетям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ЕНЭС</w:t>
      </w:r>
      <w:proofErr w:type="gramEnd"/>
      <w:r>
        <w:t xml:space="preserve">, </w:t>
      </w:r>
      <w:proofErr w:type="gramStart"/>
      <w:r>
        <w:t>при</w:t>
      </w:r>
      <w:proofErr w:type="gramEnd"/>
      <w:r>
        <w:t xml:space="preserve"> </w:t>
      </w:r>
      <w:proofErr w:type="gramStart"/>
      <w:r>
        <w:t>которых</w:t>
      </w:r>
      <w:proofErr w:type="gramEnd"/>
      <w:r>
        <w:t xml:space="preserve"> в состав платы за технологическое присоединение также включается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w:t>
      </w:r>
    </w:p>
    <w:p w:rsidR="00D84B55" w:rsidRDefault="00D84B55">
      <w:pPr>
        <w:pStyle w:val="ConsPlusNormal"/>
        <w:spacing w:before="200"/>
        <w:ind w:firstLine="540"/>
        <w:jc w:val="both"/>
      </w:pPr>
      <w:bookmarkStart w:id="1" w:name="P55"/>
      <w:bookmarkEnd w:id="1"/>
      <w:r>
        <w:t xml:space="preserve">8. </w:t>
      </w:r>
      <w:proofErr w:type="gramStart"/>
      <w:r>
        <w:t>В случае заключения договора технологического присоединения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w:t>
      </w:r>
      <w:proofErr w:type="gramEnd"/>
      <w:r>
        <w:t xml:space="preserve"> </w:t>
      </w:r>
      <w:proofErr w:type="gramStart"/>
      <w:r>
        <w:t xml:space="preserve">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объектов микрогенерации, в том числе за одновременное технологическое присоединение энергопринимающих устройств и объектов микрогенерации, лицами, указанными в </w:t>
      </w:r>
      <w:hyperlink r:id="rId16">
        <w:r>
          <w:rPr>
            <w:color w:val="0000FF"/>
          </w:rPr>
          <w:t>абзацах одиннадцатом</w:t>
        </w:r>
      </w:hyperlink>
      <w:r>
        <w:t xml:space="preserve"> - </w:t>
      </w:r>
      <w:hyperlink r:id="rId17">
        <w:r>
          <w:rPr>
            <w:color w:val="0000FF"/>
          </w:rPr>
          <w:t>девятнадцатом пункта 17</w:t>
        </w:r>
      </w:hyperlink>
      <w:r>
        <w:t xml:space="preserve"> Правил технологического присоединения (Собрание законодательства Российской Федерации, 2004, N 52</w:t>
      </w:r>
      <w:proofErr w:type="gramEnd"/>
      <w:r>
        <w:t>, ст. 5525; 2022, N 27, ст. 4863), плата за технологическое присоединение энергопринимающих устройств и (или) объектов микрогенерации (P</w:t>
      </w:r>
      <w:r>
        <w:rPr>
          <w:vertAlign w:val="subscript"/>
        </w:rPr>
        <w:t>(</w:t>
      </w:r>
      <w:proofErr w:type="gramStart"/>
      <w:r>
        <w:rPr>
          <w:vertAlign w:val="subscript"/>
        </w:rPr>
        <w:t>соц</w:t>
      </w:r>
      <w:proofErr w:type="gramEnd"/>
      <w:r>
        <w:rPr>
          <w:vertAlign w:val="subscript"/>
        </w:rPr>
        <w:t>)</w:t>
      </w:r>
      <w:r>
        <w:t>) определяется исходя из стоимости мероприятий по технологическому присоединению в соответствии с формулой (1):</w:t>
      </w:r>
    </w:p>
    <w:p w:rsidR="00D84B55" w:rsidRDefault="00D84B55">
      <w:pPr>
        <w:pStyle w:val="ConsPlusNormal"/>
        <w:jc w:val="both"/>
      </w:pPr>
    </w:p>
    <w:p w:rsidR="00D84B55" w:rsidRDefault="00D84B55">
      <w:pPr>
        <w:pStyle w:val="ConsPlusNormal"/>
        <w:jc w:val="center"/>
      </w:pPr>
      <w:r>
        <w:t>P</w:t>
      </w:r>
      <w:r>
        <w:rPr>
          <w:vertAlign w:val="subscript"/>
        </w:rPr>
        <w:t>(</w:t>
      </w:r>
      <w:proofErr w:type="gramStart"/>
      <w:r>
        <w:rPr>
          <w:vertAlign w:val="subscript"/>
        </w:rPr>
        <w:t>соц</w:t>
      </w:r>
      <w:proofErr w:type="gramEnd"/>
      <w:r>
        <w:rPr>
          <w:vertAlign w:val="subscript"/>
        </w:rPr>
        <w:t>)</w:t>
      </w:r>
      <w:r>
        <w:t xml:space="preserve"> = min{P</w:t>
      </w:r>
      <w:r>
        <w:rPr>
          <w:vertAlign w:val="subscript"/>
        </w:rPr>
        <w:t>станд.ст</w:t>
      </w:r>
      <w:r>
        <w:t>; p</w:t>
      </w:r>
      <w:r>
        <w:rPr>
          <w:vertAlign w:val="subscript"/>
        </w:rPr>
        <w:t>соц</w:t>
      </w:r>
      <w:r>
        <w:t xml:space="preserve"> · N}, (1)</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r>
        <w:t>P</w:t>
      </w:r>
      <w:r>
        <w:rPr>
          <w:vertAlign w:val="subscript"/>
        </w:rPr>
        <w:t>станд</w:t>
      </w:r>
      <w:proofErr w:type="gramStart"/>
      <w:r>
        <w:rPr>
          <w:vertAlign w:val="subscript"/>
        </w:rPr>
        <w:t>.с</w:t>
      </w:r>
      <w:proofErr w:type="gramEnd"/>
      <w:r>
        <w:rPr>
          <w:vertAlign w:val="subscript"/>
        </w:rPr>
        <w:t>т</w:t>
      </w:r>
      <w:r>
        <w:t xml:space="preserve"> - стоимость мероприятий по технологическому присоединению, рассчитанная с использованием стандартизированных тарифных ставок по формуле платы за технологическое присоединение, руб.;</w:t>
      </w:r>
    </w:p>
    <w:p w:rsidR="00D84B55" w:rsidRDefault="00D84B55">
      <w:pPr>
        <w:pStyle w:val="ConsPlusNormal"/>
        <w:spacing w:before="200"/>
        <w:ind w:firstLine="540"/>
        <w:jc w:val="both"/>
      </w:pPr>
      <w:proofErr w:type="gramStart"/>
      <w:r>
        <w:t>p</w:t>
      </w:r>
      <w:proofErr w:type="gramEnd"/>
      <w:r>
        <w:rPr>
          <w:vertAlign w:val="subscript"/>
        </w:rPr>
        <w:t>соц</w:t>
      </w:r>
      <w:r>
        <w:t xml:space="preserve"> - льготная ставка за 1 кВт запрашиваемой максимальной мощности при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w:t>
      </w:r>
      <w:proofErr w:type="gramStart"/>
      <w:r>
        <w:t xml:space="preserve">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объектов микрогенерации, в том числе за одновременное технологическое присоединение энергопринимающих устройств и объектов микрогенерации, при заключении договора лицом, предусмотренным </w:t>
      </w:r>
      <w:hyperlink r:id="rId18">
        <w:r>
          <w:rPr>
            <w:color w:val="0000FF"/>
          </w:rPr>
          <w:t>абзацами одиннадцатым</w:t>
        </w:r>
      </w:hyperlink>
      <w:r>
        <w:t xml:space="preserve"> - </w:t>
      </w:r>
      <w:hyperlink r:id="rId19">
        <w:r>
          <w:rPr>
            <w:color w:val="0000FF"/>
          </w:rPr>
          <w:t>девятнадцатым пункта 17</w:t>
        </w:r>
      </w:hyperlink>
      <w:r>
        <w:t xml:space="preserve"> Правил технологического</w:t>
      </w:r>
      <w:proofErr w:type="gramEnd"/>
      <w:r>
        <w:t xml:space="preserve"> присоединения, руб./кВт;</w:t>
      </w:r>
    </w:p>
    <w:p w:rsidR="00D84B55" w:rsidRDefault="00D84B55">
      <w:pPr>
        <w:pStyle w:val="ConsPlusNormal"/>
        <w:spacing w:before="200"/>
        <w:ind w:firstLine="540"/>
        <w:jc w:val="both"/>
      </w:pPr>
      <w:r>
        <w:t>N - запрашиваемая максимальная мощность присоединяемых Устройств, кВт.</w:t>
      </w:r>
    </w:p>
    <w:p w:rsidR="00D84B55" w:rsidRDefault="00D84B55">
      <w:pPr>
        <w:pStyle w:val="ConsPlusNormal"/>
        <w:spacing w:before="200"/>
        <w:ind w:firstLine="540"/>
        <w:jc w:val="both"/>
      </w:pPr>
      <w:proofErr w:type="gramStart"/>
      <w:r>
        <w:t>В случае технологического присоединения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w:t>
      </w:r>
      <w:proofErr w:type="gramEnd"/>
      <w:r>
        <w:t xml:space="preserve"> </w:t>
      </w:r>
      <w:proofErr w:type="gramStart"/>
      <w:r>
        <w:t>присоединенных в данной точке присоединения энергопринимающих устройств), при присоединении энергопринимающих устройств и (или) объектов микрогенерации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w:t>
      </w:r>
      <w:proofErr w:type="gramEnd"/>
      <w:r>
        <w:t xml:space="preserve"> и </w:t>
      </w:r>
      <w:proofErr w:type="gramStart"/>
      <w:r>
        <w:t>поселках</w:t>
      </w:r>
      <w:proofErr w:type="gramEnd"/>
      <w:r>
        <w:t xml:space="preserve"> городского типа и не более 500 метров в сельской местности, за исключением случаев, предусмотренных </w:t>
      </w:r>
      <w:hyperlink w:anchor="P55">
        <w:r>
          <w:rPr>
            <w:color w:val="0000FF"/>
          </w:rPr>
          <w:t>абзацем первым</w:t>
        </w:r>
      </w:hyperlink>
      <w:r>
        <w:t xml:space="preserve"> настоящего пункта, плата за технологическое присоединение энергопринимающих устройств и (или) объектов микрогенерации (P</w:t>
      </w:r>
      <w:r>
        <w:rPr>
          <w:vertAlign w:val="subscript"/>
        </w:rPr>
        <w:t>(несоц)</w:t>
      </w:r>
      <w:r>
        <w:t>) определяется исходя из стоимости мероприятий по технологическому присоединению в соответствии с формулой (2):</w:t>
      </w:r>
    </w:p>
    <w:p w:rsidR="00D84B55" w:rsidRDefault="00D84B55">
      <w:pPr>
        <w:pStyle w:val="ConsPlusNormal"/>
        <w:jc w:val="both"/>
      </w:pPr>
    </w:p>
    <w:p w:rsidR="00D84B55" w:rsidRDefault="00D84B55">
      <w:pPr>
        <w:pStyle w:val="ConsPlusNormal"/>
        <w:jc w:val="center"/>
      </w:pPr>
      <w:r>
        <w:t>P</w:t>
      </w:r>
      <w:r>
        <w:rPr>
          <w:vertAlign w:val="subscript"/>
        </w:rPr>
        <w:t>(несоц)</w:t>
      </w:r>
      <w:r>
        <w:t xml:space="preserve"> = min{P</w:t>
      </w:r>
      <w:r>
        <w:rPr>
          <w:vertAlign w:val="subscript"/>
        </w:rPr>
        <w:t>станд</w:t>
      </w:r>
      <w:proofErr w:type="gramStart"/>
      <w:r>
        <w:rPr>
          <w:vertAlign w:val="subscript"/>
        </w:rPr>
        <w:t>.с</w:t>
      </w:r>
      <w:proofErr w:type="gramEnd"/>
      <w:r>
        <w:rPr>
          <w:vertAlign w:val="subscript"/>
        </w:rPr>
        <w:t>т</w:t>
      </w:r>
      <w:r>
        <w:t>; p</w:t>
      </w:r>
      <w:r>
        <w:rPr>
          <w:vertAlign w:val="subscript"/>
        </w:rPr>
        <w:t>несоц</w:t>
      </w:r>
      <w:r>
        <w:t xml:space="preserve"> · N}, (2),</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proofErr w:type="gramStart"/>
      <w:r>
        <w:t>p</w:t>
      </w:r>
      <w:proofErr w:type="gramEnd"/>
      <w:r>
        <w:rPr>
          <w:vertAlign w:val="subscript"/>
        </w:rPr>
        <w:t>несоц</w:t>
      </w:r>
      <w:r>
        <w:t xml:space="preserve"> - льготная ставка за 1 кВт запрашиваемой максимальной мощности при технологическом присоединении объектов микрогенерации (за исключением случаев подачи заявки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w:t>
      </w:r>
      <w:proofErr w:type="gramStart"/>
      <w:r>
        <w:t xml:space="preserve">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за исключением случаев, указанных в </w:t>
      </w:r>
      <w:hyperlink w:anchor="P55">
        <w:r>
          <w:rPr>
            <w:color w:val="0000FF"/>
          </w:rPr>
          <w:t>абзаце первом</w:t>
        </w:r>
      </w:hyperlink>
      <w:r>
        <w:t xml:space="preserve"> настоящего пункта, устанавливаемая в отношении всей совокупности мероприятий по технологическому присоединению, при присоединении энергопринимающих устройств и (или) объектов микрогенерации по третьей</w:t>
      </w:r>
      <w:proofErr w:type="gramEnd"/>
      <w:r>
        <w:t xml:space="preserve"> </w:t>
      </w:r>
      <w:proofErr w:type="gramStart"/>
      <w:r>
        <w:t>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руб./кВт.</w:t>
      </w:r>
      <w:proofErr w:type="gramEnd"/>
    </w:p>
    <w:p w:rsidR="00D84B55" w:rsidRDefault="00D84B55">
      <w:pPr>
        <w:pStyle w:val="ConsPlusNormal"/>
        <w:spacing w:before="200"/>
        <w:ind w:firstLine="540"/>
        <w:jc w:val="both"/>
      </w:pPr>
      <w:bookmarkStart w:id="2" w:name="P69"/>
      <w:bookmarkEnd w:id="2"/>
      <w:r>
        <w:t xml:space="preserve">9. </w:t>
      </w:r>
      <w:proofErr w:type="gramStart"/>
      <w:r>
        <w:t>В случае подачи заявки Заявителем -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w:t>
      </w:r>
      <w:proofErr w:type="gramEnd"/>
      <w:r>
        <w:t>,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плата за технологическое присоединение указанных объектов микрогенерации и (или) энергопринимающих устройств (</w:t>
      </w:r>
      <w:proofErr w:type="gramStart"/>
      <w:r>
        <w:t>P</w:t>
      </w:r>
      <w:proofErr w:type="gramEnd"/>
      <w:r>
        <w:rPr>
          <w:vertAlign w:val="subscript"/>
        </w:rPr>
        <w:t>ЭПУ до 150+мкг</w:t>
      </w:r>
      <w:r>
        <w:t>) определяется по формуле (3):</w:t>
      </w:r>
    </w:p>
    <w:p w:rsidR="00D84B55" w:rsidRDefault="00D84B55">
      <w:pPr>
        <w:pStyle w:val="ConsPlusNormal"/>
        <w:jc w:val="both"/>
      </w:pPr>
    </w:p>
    <w:p w:rsidR="00D84B55" w:rsidRDefault="00D84B55">
      <w:pPr>
        <w:pStyle w:val="ConsPlusNormal"/>
        <w:jc w:val="center"/>
      </w:pPr>
      <w:r>
        <w:t>P</w:t>
      </w:r>
      <w:r>
        <w:rPr>
          <w:vertAlign w:val="subscript"/>
        </w:rPr>
        <w:t>ЭПУ до 150+мкг</w:t>
      </w:r>
      <w:r>
        <w:t xml:space="preserve"> = min{P</w:t>
      </w:r>
      <w:r>
        <w:rPr>
          <w:vertAlign w:val="subscript"/>
        </w:rPr>
        <w:t>станд</w:t>
      </w:r>
      <w:proofErr w:type="gramStart"/>
      <w:r>
        <w:rPr>
          <w:vertAlign w:val="subscript"/>
        </w:rPr>
        <w:t>.с</w:t>
      </w:r>
      <w:proofErr w:type="gramEnd"/>
      <w:r>
        <w:rPr>
          <w:vertAlign w:val="subscript"/>
        </w:rPr>
        <w:t>т</w:t>
      </w:r>
      <w:r>
        <w:t>; p</w:t>
      </w:r>
      <w:r>
        <w:rPr>
          <w:vertAlign w:val="subscript"/>
        </w:rPr>
        <w:t>несоц</w:t>
      </w:r>
      <w:r>
        <w:t xml:space="preserve"> · N} +</w:t>
      </w:r>
    </w:p>
    <w:p w:rsidR="00D84B55" w:rsidRDefault="00D84B55">
      <w:pPr>
        <w:pStyle w:val="ConsPlusNormal"/>
        <w:jc w:val="center"/>
      </w:pPr>
      <w:r>
        <w:t xml:space="preserve">+ </w:t>
      </w:r>
      <w:proofErr w:type="gramStart"/>
      <w:r>
        <w:t>P</w:t>
      </w:r>
      <w:proofErr w:type="gramEnd"/>
      <w:r>
        <w:rPr>
          <w:vertAlign w:val="subscript"/>
        </w:rPr>
        <w:t>ЭПУ до 150</w:t>
      </w:r>
      <w:r>
        <w:t>, (3),</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proofErr w:type="gramStart"/>
      <w:r>
        <w:t>P</w:t>
      </w:r>
      <w:proofErr w:type="gramEnd"/>
      <w:r>
        <w:rPr>
          <w:vertAlign w:val="subscript"/>
        </w:rPr>
        <w:t>ЭПУ до 150</w:t>
      </w:r>
      <w:r>
        <w:t xml:space="preserve"> - плата за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w:t>
      </w:r>
      <w:proofErr w:type="gramStart"/>
      <w:r>
        <w:t>определяемая</w:t>
      </w:r>
      <w:proofErr w:type="gramEnd"/>
      <w:r>
        <w:t xml:space="preserve"> в соответствии с </w:t>
      </w:r>
      <w:hyperlink w:anchor="P78">
        <w:r>
          <w:rPr>
            <w:color w:val="0000FF"/>
          </w:rPr>
          <w:t>пунктом 12</w:t>
        </w:r>
      </w:hyperlink>
      <w:r>
        <w:t xml:space="preserve"> Методических указаний, рублей. При технологическом присоединении только объектов микрогенерации </w:t>
      </w:r>
      <w:proofErr w:type="gramStart"/>
      <w:r>
        <w:t>P</w:t>
      </w:r>
      <w:proofErr w:type="gramEnd"/>
      <w:r>
        <w:rPr>
          <w:vertAlign w:val="subscript"/>
        </w:rPr>
        <w:t>ЭПУ до 150</w:t>
      </w:r>
      <w:r>
        <w:t xml:space="preserve"> приравнивается к нулю.</w:t>
      </w:r>
    </w:p>
    <w:p w:rsidR="00D84B55" w:rsidRDefault="00D84B55">
      <w:pPr>
        <w:pStyle w:val="ConsPlusNormal"/>
        <w:spacing w:before="200"/>
        <w:ind w:firstLine="540"/>
        <w:jc w:val="both"/>
      </w:pPr>
      <w:bookmarkStart w:id="3" w:name="P76"/>
      <w:bookmarkEnd w:id="3"/>
      <w:r>
        <w:t xml:space="preserve">10. </w:t>
      </w:r>
      <w:proofErr w:type="gramStart"/>
      <w:r>
        <w:t xml:space="preserve">В случае если с учетом увеличения максимальной мощности ранее присоединенного Устройства Заявителя - физического лица максимальная мощность энергопринимающих устройств превышает 15 кВт и (или) превышены расстояния, указанные в </w:t>
      </w:r>
      <w:hyperlink w:anchor="P55">
        <w:r>
          <w:rPr>
            <w:color w:val="0000FF"/>
          </w:rPr>
          <w:t>пункта 8</w:t>
        </w:r>
      </w:hyperlink>
      <w:r>
        <w:t xml:space="preserve"> Методических указаний, или в случае если при подаче Заявителем - юридическим лицом или индивидуальным предпринимателем превышены расстояния, указанные в </w:t>
      </w:r>
      <w:hyperlink w:anchor="P69">
        <w:r>
          <w:rPr>
            <w:color w:val="0000FF"/>
          </w:rPr>
          <w:t>пункте 9</w:t>
        </w:r>
      </w:hyperlink>
      <w:r>
        <w:t xml:space="preserve"> Методических указаний, а также в случаях, предусмотренных </w:t>
      </w:r>
      <w:hyperlink w:anchor="P79">
        <w:r>
          <w:rPr>
            <w:color w:val="0000FF"/>
          </w:rPr>
          <w:t>пунктом 13</w:t>
        </w:r>
      </w:hyperlink>
      <w:r>
        <w:t xml:space="preserve"> Методических указаний</w:t>
      </w:r>
      <w:proofErr w:type="gramEnd"/>
      <w:r>
        <w:t xml:space="preserve">, расчет платы за технологическое присоединение производится в соответствии с </w:t>
      </w:r>
      <w:hyperlink w:anchor="P118">
        <w:r>
          <w:rPr>
            <w:color w:val="0000FF"/>
          </w:rPr>
          <w:t>главой II</w:t>
        </w:r>
      </w:hyperlink>
      <w:r>
        <w:t xml:space="preserve"> Методических указаний по стандартизированным тарифным ставкам в соответствии с определенной согласно </w:t>
      </w:r>
      <w:hyperlink w:anchor="P1013">
        <w:r>
          <w:rPr>
            <w:color w:val="0000FF"/>
          </w:rPr>
          <w:t>приложению N 5</w:t>
        </w:r>
      </w:hyperlink>
      <w:r>
        <w:t xml:space="preserve"> к Методическим указаниям дифференциацией ставок платы за технологическое присоединение.</w:t>
      </w:r>
    </w:p>
    <w:p w:rsidR="00D84B55" w:rsidRDefault="00D84B55">
      <w:pPr>
        <w:pStyle w:val="ConsPlusNormal"/>
        <w:spacing w:before="200"/>
        <w:ind w:firstLine="540"/>
        <w:jc w:val="both"/>
      </w:pPr>
      <w:bookmarkStart w:id="4" w:name="P77"/>
      <w:bookmarkEnd w:id="4"/>
      <w:r>
        <w:t xml:space="preserve">11. </w:t>
      </w:r>
      <w:proofErr w:type="gramStart"/>
      <w:r>
        <w:t xml:space="preserve">Плата для Заявителя - физического лица или Заявителя - юридического лица или индивидуального предпринимателя, подавшего заявку в целях технологического присоединения энергопринимающих устройств максимальной мощностью, не превышающей 150 кВт включительно (с учетом мощности ранее присоединенных в данной точке присоединения энергопринимающих устройств) по первой и (или) второй категории надежности, т.е. к двум независимым источникам электроснабжения, рассчитывается в соответствии с </w:t>
      </w:r>
      <w:hyperlink w:anchor="P118">
        <w:r>
          <w:rPr>
            <w:color w:val="0000FF"/>
          </w:rPr>
          <w:t>главой II</w:t>
        </w:r>
      </w:hyperlink>
      <w:r>
        <w:t xml:space="preserve"> Методических указаний</w:t>
      </w:r>
      <w:proofErr w:type="gramEnd"/>
      <w:r>
        <w:t xml:space="preserve"> по стандартизированным тарифным ставкам в соответствии с определенной согласно </w:t>
      </w:r>
      <w:hyperlink w:anchor="P1013">
        <w:r>
          <w:rPr>
            <w:color w:val="0000FF"/>
          </w:rPr>
          <w:t>приложению N 5</w:t>
        </w:r>
      </w:hyperlink>
      <w:r>
        <w:t xml:space="preserve"> к Методическим указаниям дифференциацией ставок платы за технологическое присоединение, а также по выбранной категории надежности с учетом положений </w:t>
      </w:r>
      <w:hyperlink w:anchor="P390">
        <w:r>
          <w:rPr>
            <w:color w:val="0000FF"/>
          </w:rPr>
          <w:t>главы IV</w:t>
        </w:r>
      </w:hyperlink>
      <w:r>
        <w:t xml:space="preserve"> Методических указаний.</w:t>
      </w:r>
    </w:p>
    <w:p w:rsidR="00D84B55" w:rsidRDefault="00D84B55">
      <w:pPr>
        <w:pStyle w:val="ConsPlusNormal"/>
        <w:spacing w:before="200"/>
        <w:ind w:firstLine="540"/>
        <w:jc w:val="both"/>
      </w:pPr>
      <w:bookmarkStart w:id="5" w:name="P78"/>
      <w:bookmarkEnd w:id="5"/>
      <w:r>
        <w:t xml:space="preserve">12. </w:t>
      </w:r>
      <w:proofErr w:type="gramStart"/>
      <w:r>
        <w:t xml:space="preserve">В отношении энергопринимающих устройств Заявителей, указанных в </w:t>
      </w:r>
      <w:hyperlink r:id="rId20">
        <w:r>
          <w:rPr>
            <w:color w:val="0000FF"/>
          </w:rPr>
          <w:t>пункте 12(1)</w:t>
        </w:r>
      </w:hyperlink>
      <w:r>
        <w:t xml:space="preserve"> Правил технологического присоединения (Собрание законодательства Российской Федерации, 2004, N 52, ст. 5525;</w:t>
      </w:r>
      <w:proofErr w:type="gramEnd"/>
      <w:r>
        <w:t xml:space="preserve"> </w:t>
      </w:r>
      <w:proofErr w:type="gramStart"/>
      <w:r>
        <w:t>2016, N 40, ст. 5735), присоединяемых по третьей категории надежности (по одному источнику энергоснабжения)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w:t>
      </w:r>
      <w:proofErr w:type="gramEnd"/>
      <w:r>
        <w:t xml:space="preserve">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D84B55" w:rsidRDefault="00D84B55">
      <w:pPr>
        <w:pStyle w:val="ConsPlusNormal"/>
        <w:spacing w:before="200"/>
        <w:ind w:firstLine="540"/>
        <w:jc w:val="both"/>
      </w:pPr>
      <w:bookmarkStart w:id="6" w:name="P79"/>
      <w:bookmarkEnd w:id="6"/>
      <w:r>
        <w:t xml:space="preserve">13. Положения о размере платы за технологическое присоединение, указанные в </w:t>
      </w:r>
      <w:hyperlink w:anchor="P55">
        <w:r>
          <w:rPr>
            <w:color w:val="0000FF"/>
          </w:rPr>
          <w:t>пунктах 8</w:t>
        </w:r>
      </w:hyperlink>
      <w:r>
        <w:t xml:space="preserve">, </w:t>
      </w:r>
      <w:hyperlink w:anchor="P69">
        <w:r>
          <w:rPr>
            <w:color w:val="0000FF"/>
          </w:rPr>
          <w:t>9</w:t>
        </w:r>
      </w:hyperlink>
      <w:r>
        <w:t xml:space="preserve"> и </w:t>
      </w:r>
      <w:hyperlink w:anchor="P78">
        <w:r>
          <w:rPr>
            <w:color w:val="0000FF"/>
          </w:rPr>
          <w:t>12</w:t>
        </w:r>
      </w:hyperlink>
      <w:r>
        <w:t xml:space="preserve"> Методических указаний, не могут быть применены в следующих случаях:</w:t>
      </w:r>
    </w:p>
    <w:p w:rsidR="00D84B55" w:rsidRDefault="00D84B55">
      <w:pPr>
        <w:pStyle w:val="ConsPlusNormal"/>
        <w:spacing w:before="200"/>
        <w:ind w:firstLine="540"/>
        <w:jc w:val="both"/>
      </w:pPr>
      <w:r>
        <w:t>а) 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D84B55" w:rsidRDefault="00D84B55">
      <w:pPr>
        <w:pStyle w:val="ConsPlusNormal"/>
        <w:spacing w:before="200"/>
        <w:ind w:firstLine="540"/>
        <w:jc w:val="both"/>
      </w:pPr>
      <w:r>
        <w:t>б) 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D84B55" w:rsidRDefault="00D84B55">
      <w:pPr>
        <w:pStyle w:val="ConsPlusNormal"/>
        <w:spacing w:before="200"/>
        <w:ind w:firstLine="540"/>
        <w:jc w:val="both"/>
      </w:pPr>
      <w:proofErr w:type="gramStart"/>
      <w:r>
        <w:t xml:space="preserve">в) 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55">
        <w:r>
          <w:rPr>
            <w:color w:val="0000FF"/>
          </w:rPr>
          <w:t>пунктах 8</w:t>
        </w:r>
      </w:hyperlink>
      <w:r>
        <w:t xml:space="preserve"> и </w:t>
      </w:r>
      <w:hyperlink w:anchor="P78">
        <w:r>
          <w:rPr>
            <w:color w:val="0000FF"/>
          </w:rPr>
          <w:t>12</w:t>
        </w:r>
      </w:hyperlink>
      <w:r>
        <w:t xml:space="preserve"> Методических указаний, ранее уже была подана заявка, которая не была аннулирована,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w:t>
      </w:r>
      <w:proofErr w:type="gramEnd"/>
      <w:r>
        <w:t xml:space="preserve"> </w:t>
      </w:r>
      <w:proofErr w:type="gramStart"/>
      <w:r>
        <w:t>же</w:t>
      </w:r>
      <w:proofErr w:type="gramEnd"/>
      <w:r>
        <w:t xml:space="preserve"> субъекта Российской Федерации, при условии, что со дня заключения такого договора не истекло 3 года;</w:t>
      </w:r>
    </w:p>
    <w:p w:rsidR="00D84B55" w:rsidRDefault="00D84B55">
      <w:pPr>
        <w:pStyle w:val="ConsPlusNormal"/>
        <w:spacing w:before="200"/>
        <w:ind w:firstLine="540"/>
        <w:jc w:val="both"/>
      </w:pPr>
      <w:proofErr w:type="gramStart"/>
      <w:r>
        <w:t xml:space="preserve">г) при технологическом присоединении энергопринимающих устройств Заявителей, указанных в </w:t>
      </w:r>
      <w:hyperlink w:anchor="P78">
        <w:r>
          <w:rPr>
            <w:color w:val="0000FF"/>
          </w:rPr>
          <w:t>пункте 12</w:t>
        </w:r>
      </w:hyperlink>
      <w:r>
        <w:t xml:space="preserve"> Методических указаний,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w:t>
      </w:r>
      <w:proofErr w:type="gramEnd"/>
      <w:r>
        <w:t xml:space="preserve"> была аннулирована, </w:t>
      </w:r>
      <w:proofErr w:type="gramStart"/>
      <w:r>
        <w:t>предусматривающий</w:t>
      </w:r>
      <w:proofErr w:type="gramEnd"/>
      <w:r>
        <w:t xml:space="preserve"> установленные </w:t>
      </w:r>
      <w:hyperlink w:anchor="P78">
        <w:r>
          <w:rPr>
            <w:color w:val="0000FF"/>
          </w:rPr>
          <w:t>пунктом 12</w:t>
        </w:r>
      </w:hyperlink>
      <w:r>
        <w:t xml:space="preserve"> Методических указаний особенности расчета платы за технологическое присоединение, при условии, что со дня заключения такого договора не истекло 3 года.</w:t>
      </w:r>
    </w:p>
    <w:p w:rsidR="00D84B55" w:rsidRDefault="00D84B55">
      <w:pPr>
        <w:pStyle w:val="ConsPlusNormal"/>
        <w:spacing w:before="200"/>
        <w:ind w:firstLine="540"/>
        <w:jc w:val="both"/>
      </w:pPr>
      <w:r>
        <w:t xml:space="preserve">14. </w:t>
      </w:r>
      <w:proofErr w:type="gramStart"/>
      <w:r>
        <w:t xml:space="preserve">Стандартизированные тарифные ставки на период регулирования по мероприятиям, указанным в </w:t>
      </w:r>
      <w:hyperlink w:anchor="P88">
        <w:r>
          <w:rPr>
            <w:color w:val="0000FF"/>
          </w:rPr>
          <w:t>пункте 16</w:t>
        </w:r>
      </w:hyperlink>
      <w:r>
        <w:t xml:space="preserve"> (за исключением </w:t>
      </w:r>
      <w:hyperlink w:anchor="P90">
        <w:r>
          <w:rPr>
            <w:color w:val="0000FF"/>
          </w:rPr>
          <w:t>подпункта "б"</w:t>
        </w:r>
      </w:hyperlink>
      <w:r>
        <w:t xml:space="preserve">) Методических указаний, и по мероприятиям, указанным в </w:t>
      </w:r>
      <w:hyperlink w:anchor="P90">
        <w:r>
          <w:rPr>
            <w:color w:val="0000FF"/>
          </w:rPr>
          <w:t>подпункте "б" пункта 16</w:t>
        </w:r>
      </w:hyperlink>
      <w:r>
        <w:t xml:space="preserve"> Методических указаний, связанным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(далее - мероприятия "последней мили"), рассчитываются методом сравнения аналогов в соответствии с </w:t>
      </w:r>
      <w:hyperlink w:anchor="P118">
        <w:r>
          <w:rPr>
            <w:color w:val="0000FF"/>
          </w:rPr>
          <w:t>главой</w:t>
        </w:r>
        <w:proofErr w:type="gramEnd"/>
        <w:r>
          <w:rPr>
            <w:color w:val="0000FF"/>
          </w:rPr>
          <w:t xml:space="preserve"> II</w:t>
        </w:r>
      </w:hyperlink>
      <w:r>
        <w:t xml:space="preserve"> Методических указаний на основании представленных территориальными сетевыми организациями в соответствии с </w:t>
      </w:r>
      <w:hyperlink r:id="rId21">
        <w:r>
          <w:rPr>
            <w:color w:val="0000FF"/>
          </w:rPr>
          <w:t>абзацем двенадцатым пункта 87</w:t>
        </w:r>
      </w:hyperlink>
      <w:r>
        <w:t xml:space="preserve"> Основ ценообразования (Собрание законодательства Российской Федерации, 2012, N 4, ст. 504; </w:t>
      </w:r>
      <w:proofErr w:type="gramStart"/>
      <w:r>
        <w:t>2022, N 27, ст. 4863) сведений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w:t>
      </w:r>
      <w:proofErr w:type="gramEnd"/>
    </w:p>
    <w:p w:rsidR="00D84B55" w:rsidRDefault="00D84B55">
      <w:pPr>
        <w:pStyle w:val="ConsPlusNormal"/>
        <w:spacing w:before="200"/>
        <w:ind w:firstLine="540"/>
        <w:jc w:val="both"/>
      </w:pPr>
      <w:r>
        <w:t xml:space="preserve">15. </w:t>
      </w:r>
      <w:proofErr w:type="gramStart"/>
      <w:r>
        <w:t xml:space="preserve">Экономически обоснованные расходы по мероприятиям "последней мили", на обеспечение средствами коммерческого учета электрической энергии (мощности) на регулируемый период при определении стандартизированных тарифных ставок определяются с учетом представленных территориальными сетевыми организациями в соответствии с </w:t>
      </w:r>
      <w:hyperlink r:id="rId22">
        <w:r>
          <w:rPr>
            <w:color w:val="0000FF"/>
          </w:rPr>
          <w:t>абзацем двенадцатым пункта 87</w:t>
        </w:r>
      </w:hyperlink>
      <w:r>
        <w:t xml:space="preserve"> Основ ценообразования фактических данных (сведений о расходах на строительство объектов электросетевого хозяйства, обеспечение средствами коммерческого учета электрической энергии (мощности), длине линий, объемах максимальной</w:t>
      </w:r>
      <w:proofErr w:type="gramEnd"/>
      <w:r>
        <w:t xml:space="preserve"> мощности построенных объектов за три предыдущих года по каждому мероприятию. </w:t>
      </w:r>
      <w:proofErr w:type="gramStart"/>
      <w:r>
        <w:t xml:space="preserve">Рекомендуемый образец информации по расходам на строительство введенных в эксплуатацию объектов электросетевого хозяйства для целей технологического присоединения и для целей реализации иных мероприятий инвестиционной программы территориальной сетевой организации, а также на обеспечение средствами коммерческого учета электрической энергии (мощности) приведен в </w:t>
      </w:r>
      <w:hyperlink w:anchor="P417">
        <w:r>
          <w:rPr>
            <w:color w:val="0000FF"/>
          </w:rPr>
          <w:t>приложении N 1</w:t>
        </w:r>
      </w:hyperlink>
      <w:r>
        <w:t xml:space="preserve"> к Методическим указаниям).</w:t>
      </w:r>
      <w:proofErr w:type="gramEnd"/>
    </w:p>
    <w:p w:rsidR="00D84B55" w:rsidRDefault="00D84B55">
      <w:pPr>
        <w:pStyle w:val="ConsPlusNormal"/>
        <w:spacing w:before="200"/>
        <w:ind w:firstLine="540"/>
        <w:jc w:val="both"/>
      </w:pPr>
      <w:proofErr w:type="gramStart"/>
      <w:r>
        <w:t>В случае если в субъекте Российской Федерации за 3 предыдущих года не осуществлялось строительство тех объектов электросетевого хозяйства, в отношении которых определяются стандартизированные тарифные ставки либо не осуществлялось обеспечение средствами коммерческого учета электрической энергии (мощности), расчет ставок производится исходя из данных за два предыдущих года, в случае отсутствия данных за два года - за предыдущий год, а при отсутствии данных за</w:t>
      </w:r>
      <w:proofErr w:type="gramEnd"/>
      <w:r>
        <w:t xml:space="preserve"> три года - по планируемым расходам, определенным по сметам, выполненным с применением сметных нормативов.</w:t>
      </w:r>
    </w:p>
    <w:p w:rsidR="00D84B55" w:rsidRDefault="00D84B55">
      <w:pPr>
        <w:pStyle w:val="ConsPlusNormal"/>
        <w:spacing w:before="200"/>
        <w:ind w:firstLine="540"/>
        <w:jc w:val="both"/>
      </w:pPr>
      <w:r>
        <w:t>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rsidR="00D84B55" w:rsidRDefault="00D84B55">
      <w:pPr>
        <w:pStyle w:val="ConsPlusNormal"/>
        <w:spacing w:before="200"/>
        <w:ind w:firstLine="540"/>
        <w:jc w:val="both"/>
      </w:pPr>
      <w:bookmarkStart w:id="7" w:name="P88"/>
      <w:bookmarkEnd w:id="7"/>
      <w:r>
        <w:t>16. Для расчета платы за технологическое присоединение к электрическим сетям учитываются расходы на выполнение сетевой организацией следующих обязательных мероприятий:</w:t>
      </w:r>
    </w:p>
    <w:p w:rsidR="00D84B55" w:rsidRDefault="00D84B55">
      <w:pPr>
        <w:pStyle w:val="ConsPlusNormal"/>
        <w:spacing w:before="200"/>
        <w:ind w:firstLine="540"/>
        <w:jc w:val="both"/>
      </w:pPr>
      <w:bookmarkStart w:id="8" w:name="P89"/>
      <w:bookmarkEnd w:id="8"/>
      <w:r>
        <w:t>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w:t>
      </w:r>
    </w:p>
    <w:p w:rsidR="00D84B55" w:rsidRDefault="00D84B55">
      <w:pPr>
        <w:pStyle w:val="ConsPlusNormal"/>
        <w:spacing w:before="200"/>
        <w:ind w:firstLine="540"/>
        <w:jc w:val="both"/>
      </w:pPr>
      <w:bookmarkStart w:id="9" w:name="P90"/>
      <w:bookmarkEnd w:id="9"/>
      <w:r>
        <w:t>б) 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rsidR="00D84B55" w:rsidRDefault="00D84B55">
      <w:pPr>
        <w:pStyle w:val="ConsPlusNormal"/>
        <w:spacing w:before="200"/>
        <w:ind w:firstLine="540"/>
        <w:jc w:val="both"/>
      </w:pPr>
      <w:bookmarkStart w:id="10" w:name="P91"/>
      <w:bookmarkEnd w:id="10"/>
      <w:r>
        <w:t xml:space="preserve">в) проверку сетевой организацией выполнения Заявителем технических условий в соответствии с </w:t>
      </w:r>
      <w:hyperlink r:id="rId23">
        <w:r>
          <w:rPr>
            <w:color w:val="0000FF"/>
          </w:rPr>
          <w:t>разделом IX</w:t>
        </w:r>
      </w:hyperlink>
      <w:r>
        <w:t xml:space="preserve"> Правил технологического присоединения (Собрание законодательства Российской Федерации, 2004, N 52, ст. 5525; </w:t>
      </w:r>
      <w:proofErr w:type="gramStart"/>
      <w:r>
        <w:t xml:space="preserve">2021, N 6, ст. 985) (выдачу уведомления об обеспечении сетевой организацией возможности присоединения к электрическим сетям Заявителям, указанным в </w:t>
      </w:r>
      <w:hyperlink r:id="rId24">
        <w:r>
          <w:rPr>
            <w:color w:val="0000FF"/>
          </w:rPr>
          <w:t>пунктах 12(1)</w:t>
        </w:r>
      </w:hyperlink>
      <w:r>
        <w:t xml:space="preserve">, </w:t>
      </w:r>
      <w:hyperlink r:id="rId25">
        <w:r>
          <w:rPr>
            <w:color w:val="0000FF"/>
          </w:rPr>
          <w:t>13(2)</w:t>
        </w:r>
      </w:hyperlink>
      <w:r>
        <w:t xml:space="preserve"> - </w:t>
      </w:r>
      <w:hyperlink r:id="rId26">
        <w:r>
          <w:rPr>
            <w:color w:val="0000FF"/>
          </w:rPr>
          <w:t>13(5)</w:t>
        </w:r>
      </w:hyperlink>
      <w:r>
        <w:t xml:space="preserve"> и </w:t>
      </w:r>
      <w:hyperlink r:id="rId27">
        <w:r>
          <w:rPr>
            <w:color w:val="0000FF"/>
          </w:rPr>
          <w:t>14</w:t>
        </w:r>
      </w:hyperlink>
      <w:r>
        <w:t xml:space="preserve"> Правил технологического присоединения (Собрание законодательства Российской Федерации, 2004, N 52, ст. 5525;</w:t>
      </w:r>
      <w:proofErr w:type="gramEnd"/>
      <w:r>
        <w:t xml:space="preserve"> </w:t>
      </w:r>
      <w:proofErr w:type="gramStart"/>
      <w:r>
        <w:t>2014, N 1, ст. 689), если технологическое присоединение энергопринимающих устройств таких заявителей осуществляется на уровне напряжения 0,4 кВ и ниже).</w:t>
      </w:r>
      <w:proofErr w:type="gramEnd"/>
    </w:p>
    <w:p w:rsidR="00D84B55" w:rsidRDefault="00D84B55">
      <w:pPr>
        <w:pStyle w:val="ConsPlusNormal"/>
        <w:spacing w:before="200"/>
        <w:ind w:firstLine="540"/>
        <w:jc w:val="both"/>
      </w:pPr>
      <w:r>
        <w:t xml:space="preserve">17. При установлении платы за технологическое присоединение по </w:t>
      </w:r>
      <w:proofErr w:type="gramStart"/>
      <w:r>
        <w:t>индивидуальному проекту</w:t>
      </w:r>
      <w:proofErr w:type="gramEnd"/>
      <w:r>
        <w:t xml:space="preserve"> определяются расходы сетевой организации на реконструкцию и (или) новое строительство, связанные с данным технологическим присоединением, объем которых согласно </w:t>
      </w:r>
      <w:hyperlink r:id="rId28">
        <w:r>
          <w:rPr>
            <w:color w:val="0000FF"/>
          </w:rPr>
          <w:t>абзацу седьмому пункта 32</w:t>
        </w:r>
      </w:hyperlink>
      <w:r>
        <w:t xml:space="preserve"> и </w:t>
      </w:r>
      <w:hyperlink r:id="rId29">
        <w:r>
          <w:rPr>
            <w:color w:val="0000FF"/>
          </w:rPr>
          <w:t>абзацу двенадцатому пункта 87</w:t>
        </w:r>
      </w:hyperlink>
      <w:r>
        <w:t xml:space="preserve"> Основ ценообразования (Собрание законодательства Российской Федерации, 2012, N 4, ст. 504; </w:t>
      </w:r>
      <w:proofErr w:type="gramStart"/>
      <w:r>
        <w:t>2015, N 37, ст. 5153) отражается в решении об установлении платы за технологическое присоединение и учитывается при установлении тарифов на услуги по передаче электрической энергии, а также рассчитывается плата Заявителю за объем максимальной мощности, указанной в заявке (в тыс. рублей).</w:t>
      </w:r>
      <w:proofErr w:type="gramEnd"/>
    </w:p>
    <w:p w:rsidR="00D84B55" w:rsidRDefault="00D84B55">
      <w:pPr>
        <w:pStyle w:val="ConsPlusNormal"/>
        <w:spacing w:before="200"/>
        <w:ind w:firstLine="540"/>
        <w:jc w:val="both"/>
      </w:pPr>
      <w:r>
        <w:t>В указанную плату включаются:</w:t>
      </w:r>
    </w:p>
    <w:p w:rsidR="00D84B55" w:rsidRDefault="00D84B55">
      <w:pPr>
        <w:pStyle w:val="ConsPlusNormal"/>
        <w:spacing w:before="200"/>
        <w:ind w:firstLine="540"/>
        <w:jc w:val="both"/>
      </w:pPr>
      <w:r>
        <w:t xml:space="preserve">- стоимость мероприятий, перечисленных в </w:t>
      </w:r>
      <w:hyperlink w:anchor="P88">
        <w:r>
          <w:rPr>
            <w:color w:val="0000FF"/>
          </w:rPr>
          <w:t>пункте 16</w:t>
        </w:r>
      </w:hyperlink>
      <w:r>
        <w:t xml:space="preserve"> (за исключением </w:t>
      </w:r>
      <w:hyperlink w:anchor="P90">
        <w:r>
          <w:rPr>
            <w:color w:val="0000FF"/>
          </w:rPr>
          <w:t>подпункта "б"</w:t>
        </w:r>
      </w:hyperlink>
      <w:r>
        <w:t>) Методических указаний;</w:t>
      </w:r>
    </w:p>
    <w:p w:rsidR="00D84B55" w:rsidRDefault="00D84B55">
      <w:pPr>
        <w:pStyle w:val="ConsPlusNormal"/>
        <w:spacing w:before="200"/>
        <w:ind w:firstLine="540"/>
        <w:jc w:val="both"/>
      </w:pPr>
      <w:bookmarkStart w:id="11" w:name="P95"/>
      <w:bookmarkEnd w:id="11"/>
      <w:r>
        <w:t xml:space="preserve">- стоимость конкретных мероприятий, предусмотренных </w:t>
      </w:r>
      <w:hyperlink w:anchor="P90">
        <w:r>
          <w:rPr>
            <w:color w:val="0000FF"/>
          </w:rPr>
          <w:t>подпунктом "б" пункта 16</w:t>
        </w:r>
      </w:hyperlink>
      <w:r>
        <w:t xml:space="preserve">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rsidR="00D84B55" w:rsidRDefault="00D84B55">
      <w:pPr>
        <w:pStyle w:val="ConsPlusNormal"/>
        <w:spacing w:before="200"/>
        <w:ind w:firstLine="540"/>
        <w:jc w:val="both"/>
      </w:pPr>
      <w:bookmarkStart w:id="12" w:name="P96"/>
      <w:bookmarkEnd w:id="12"/>
      <w:proofErr w:type="gramStart"/>
      <w:r>
        <w:t>Если выданные технические условия предусматривают мероприятия по строительству объектов "последней мили", по которым стандартизированные тарифные ставки на период регулирования не установлены, то соответствующие стандартизированные тарифные ставки рассчитываются в течение 30 рабочих дней с даты обращения территориальной сетевой организации в орган исполнительной власти субъекта Российской Федерации в области государственного регулирования тарифов, и расчет платы за технологическое присоединение выполняется в соответствии с</w:t>
      </w:r>
      <w:proofErr w:type="gramEnd"/>
      <w:r>
        <w:t xml:space="preserve"> </w:t>
      </w:r>
      <w:hyperlink w:anchor="P95">
        <w:r>
          <w:rPr>
            <w:color w:val="0000FF"/>
          </w:rPr>
          <w:t>абзацем четвертым</w:t>
        </w:r>
      </w:hyperlink>
      <w:r>
        <w:t xml:space="preserve"> настоящего пункта. </w:t>
      </w:r>
      <w:proofErr w:type="gramStart"/>
      <w:r>
        <w:t xml:space="preserve">В случае если при технологическом присоединении по индивидуальному проекту технические условия предусматривают мероприятия по строительству территориальными сетевыми организациями объектов "последней мили", не соответствующих </w:t>
      </w:r>
      <w:hyperlink r:id="rId30">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(Собрание законодательства Российской Федерации, 2006, N 5, ст. 556;</w:t>
      </w:r>
      <w:proofErr w:type="gramEnd"/>
      <w:r>
        <w:t xml:space="preserve"> </w:t>
      </w:r>
      <w:proofErr w:type="gramStart"/>
      <w:r>
        <w:t xml:space="preserve">2016, N 13, ст. 1825), в отношении которых </w:t>
      </w:r>
      <w:hyperlink w:anchor="P1013">
        <w:r>
          <w:rPr>
            <w:color w:val="0000FF"/>
          </w:rPr>
          <w:t>приложением N 5</w:t>
        </w:r>
      </w:hyperlink>
      <w:r>
        <w:t xml:space="preserve"> к Методическим указаниям не предусмотрены стандартизированные тарифные ставки, экономически обоснованные расходы по указанным мероприятиям "последней мили" определяются с учетом смет, представленных территориальными сетевыми организациями, и выполненных с применением сметных нормативов.</w:t>
      </w:r>
      <w:proofErr w:type="gramEnd"/>
    </w:p>
    <w:p w:rsidR="00D84B55" w:rsidRDefault="00D84B55">
      <w:pPr>
        <w:pStyle w:val="ConsPlusNormal"/>
        <w:spacing w:before="200"/>
        <w:ind w:firstLine="540"/>
        <w:jc w:val="both"/>
      </w:pPr>
      <w:r>
        <w:t xml:space="preserve">18. В решении об установлении платы за технологическое присоединение по </w:t>
      </w:r>
      <w:proofErr w:type="gramStart"/>
      <w:r>
        <w:t>индивидуальному проекту</w:t>
      </w:r>
      <w:proofErr w:type="gramEnd"/>
      <w:r>
        <w:t xml:space="preserve"> отражаются расходы сетевой организации, не включаемые в плату за технологическое присоединение и подлежащие учету при установлении тарифов на услуги по передаче электрической энергии на очередной период регулирования.</w:t>
      </w:r>
    </w:p>
    <w:p w:rsidR="00D84B55" w:rsidRDefault="00D84B55">
      <w:pPr>
        <w:pStyle w:val="ConsPlusNormal"/>
        <w:spacing w:before="200"/>
        <w:ind w:firstLine="540"/>
        <w:jc w:val="both"/>
      </w:pPr>
      <w:r>
        <w:t>Размер платы за технологическое присоединение рассчитывается с разбивкой стоимости по каждому мероприятию согласно техническим условиям, определяющим способ присоединения Устройств Заявителя.</w:t>
      </w:r>
    </w:p>
    <w:p w:rsidR="00D84B55" w:rsidRDefault="00D84B55">
      <w:pPr>
        <w:pStyle w:val="ConsPlusNormal"/>
        <w:spacing w:before="200"/>
        <w:ind w:firstLine="540"/>
        <w:jc w:val="both"/>
      </w:pPr>
      <w:r>
        <w:t>19. Лицо, заинтересованное в перераспределении в свою пользу максимальной мощности других лиц, энергопринимающие устройства которых присоединены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w:t>
      </w:r>
    </w:p>
    <w:p w:rsidR="00D84B55" w:rsidRDefault="00D84B55">
      <w:pPr>
        <w:pStyle w:val="ConsPlusNormal"/>
        <w:spacing w:before="200"/>
        <w:ind w:firstLine="540"/>
        <w:jc w:val="both"/>
      </w:pPr>
      <w:proofErr w:type="gramStart"/>
      <w:r>
        <w:t xml:space="preserve">При этом стоимость информации, предусмотренной </w:t>
      </w:r>
      <w:hyperlink r:id="rId31">
        <w:r>
          <w:rPr>
            <w:color w:val="0000FF"/>
          </w:rPr>
          <w:t>пунктом 36</w:t>
        </w:r>
      </w:hyperlink>
      <w:r>
        <w:t xml:space="preserve"> Правил технологического присоединения (Собрание законодательства Российской Федерации, 2004, N 52, ст. 5525; 2013, N 44, ст. 5765), предоставляемой сетевой организацией по запросу лица, заинтересованного в перераспределении в свою пользу максимальной мощности других лиц, не входит в состав платы за технологическое присоединение и оплачивается отдельно в размере, не превышающем 550 рублей.</w:t>
      </w:r>
      <w:proofErr w:type="gramEnd"/>
    </w:p>
    <w:p w:rsidR="00D84B55" w:rsidRDefault="00D84B55">
      <w:pPr>
        <w:pStyle w:val="ConsPlusNormal"/>
        <w:spacing w:before="200"/>
        <w:ind w:firstLine="540"/>
        <w:jc w:val="both"/>
      </w:pPr>
      <w:proofErr w:type="gramStart"/>
      <w:r>
        <w:t>В случае если перераспределение максимальной мощности внутри одного центра питания происходит между двумя лицами, энергопринимающие устройства которых ранее были технологически присоединены к этому центру питания, и не требуется новое строительство (реконструкция) объектов электросетевого хозяйства от точки присоединения, расположенной в границах участка сетевой организации, до земельного участка Заявителя, в пользу которого предполагается перераспределить максимальную мощность, то лицо, в пользу которого предполагается</w:t>
      </w:r>
      <w:proofErr w:type="gramEnd"/>
      <w:r>
        <w:t xml:space="preserve"> перераспределить максимальную мощность, оплачивает затраты сетевой организации по стандартизированной тарифной ставке С</w:t>
      </w:r>
      <w:proofErr w:type="gramStart"/>
      <w:r>
        <w:rPr>
          <w:vertAlign w:val="subscript"/>
        </w:rPr>
        <w:t>1</w:t>
      </w:r>
      <w:proofErr w:type="gramEnd"/>
      <w: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(руб. за одно присоединение).</w:t>
      </w:r>
    </w:p>
    <w:p w:rsidR="00D84B55" w:rsidRDefault="00D84B55">
      <w:pPr>
        <w:pStyle w:val="ConsPlusNormal"/>
        <w:spacing w:before="200"/>
        <w:ind w:firstLine="540"/>
        <w:jc w:val="both"/>
      </w:pPr>
      <w:r>
        <w:t>20. К воздушно-кабельным линиям электропередачи (КВЛ) для целей Методических указаний применяются положения, относящиеся к воздушным линиям электропередачи (</w:t>
      </w:r>
      <w:proofErr w:type="gramStart"/>
      <w:r>
        <w:t>ВЛ</w:t>
      </w:r>
      <w:proofErr w:type="gramEnd"/>
      <w:r>
        <w:t>), в части, приходящейся на протяженность в воздушном исполнении, а в остальной части - положения, относящиеся к кабельным линиям электропередачи (КЛ).</w:t>
      </w:r>
    </w:p>
    <w:p w:rsidR="00D84B55" w:rsidRDefault="00D84B55">
      <w:pPr>
        <w:pStyle w:val="ConsPlusNormal"/>
        <w:spacing w:before="200"/>
        <w:ind w:firstLine="540"/>
        <w:jc w:val="both"/>
      </w:pPr>
      <w:r>
        <w:t>21. В случае если в представленных материалах присутствуют величины, измеряемые в кВА, то при осуществлении расчета за технологическое присоединение перевод одного кВА в один кВт производится следующим образом:</w:t>
      </w:r>
    </w:p>
    <w:p w:rsidR="00D84B55" w:rsidRDefault="00D84B55">
      <w:pPr>
        <w:pStyle w:val="ConsPlusNormal"/>
        <w:jc w:val="both"/>
      </w:pPr>
    </w:p>
    <w:p w:rsidR="00D84B55" w:rsidRDefault="00D84B55">
      <w:pPr>
        <w:pStyle w:val="ConsPlusNormal"/>
        <w:jc w:val="center"/>
      </w:pPr>
      <w:r>
        <w:rPr>
          <w:noProof/>
          <w:position w:val="-5"/>
        </w:rPr>
        <w:drawing>
          <wp:inline distT="0" distB="0" distL="0" distR="0">
            <wp:extent cx="11525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52525" cy="200025"/>
                    </a:xfrm>
                    <a:prstGeom prst="rect">
                      <a:avLst/>
                    </a:prstGeom>
                    <a:noFill/>
                    <a:ln>
                      <a:noFill/>
                    </a:ln>
                  </pic:spPr>
                </pic:pic>
              </a:graphicData>
            </a:graphic>
          </wp:inline>
        </w:drawing>
      </w:r>
      <w:r>
        <w:t>, (4),</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r>
        <w:rPr>
          <w:noProof/>
          <w:position w:val="-5"/>
        </w:rPr>
        <w:drawing>
          <wp:inline distT="0" distB="0" distL="0" distR="0">
            <wp:extent cx="7905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t xml:space="preserve"> для точек присоединения на уровне напряжения 110 кВ и выше;</w:t>
      </w:r>
    </w:p>
    <w:p w:rsidR="00D84B55" w:rsidRDefault="00D84B55">
      <w:pPr>
        <w:pStyle w:val="ConsPlusNormal"/>
        <w:spacing w:before="200"/>
        <w:ind w:firstLine="540"/>
        <w:jc w:val="both"/>
      </w:pPr>
      <w:r>
        <w:rPr>
          <w:noProof/>
          <w:position w:val="-5"/>
        </w:rPr>
        <w:drawing>
          <wp:inline distT="0" distB="0" distL="0" distR="0">
            <wp:extent cx="7905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t xml:space="preserve"> для точек присоединения на уровне напряжения от 6 до 110 кВ;</w:t>
      </w:r>
    </w:p>
    <w:p w:rsidR="00D84B55" w:rsidRDefault="00D84B55">
      <w:pPr>
        <w:pStyle w:val="ConsPlusNormal"/>
        <w:spacing w:before="200"/>
        <w:ind w:firstLine="540"/>
        <w:jc w:val="both"/>
      </w:pPr>
      <w:r>
        <w:rPr>
          <w:noProof/>
          <w:position w:val="-5"/>
        </w:rPr>
        <w:drawing>
          <wp:inline distT="0" distB="0" distL="0" distR="0">
            <wp:extent cx="7905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t xml:space="preserve"> для точек присоединения на уровне напряжения менее 6 кВ.</w:t>
      </w:r>
    </w:p>
    <w:p w:rsidR="00D84B55" w:rsidRDefault="00D84B55">
      <w:pPr>
        <w:pStyle w:val="ConsPlusNormal"/>
        <w:spacing w:before="200"/>
        <w:ind w:firstLine="540"/>
        <w:jc w:val="both"/>
      </w:pPr>
      <w:bookmarkStart w:id="13" w:name="P111"/>
      <w:bookmarkEnd w:id="13"/>
      <w:r>
        <w:t xml:space="preserve">22. Стандартизированные тарифные Ставки определяются в ценах периода регулирования </w:t>
      </w:r>
      <w:proofErr w:type="gramStart"/>
      <w:r>
        <w:t>едиными</w:t>
      </w:r>
      <w:proofErr w:type="gramEnd"/>
      <w:r>
        <w:t xml:space="preserve"> для всех территориальных сетевых организаций на территории субъекта Российской Федерации.</w:t>
      </w:r>
    </w:p>
    <w:p w:rsidR="00D84B55" w:rsidRDefault="00D84B55">
      <w:pPr>
        <w:pStyle w:val="ConsPlusNormal"/>
        <w:spacing w:before="200"/>
        <w:ind w:firstLine="540"/>
        <w:jc w:val="both"/>
      </w:pPr>
      <w:r>
        <w:t>Стандартизированная тарифная ставка С</w:t>
      </w:r>
      <w:proofErr w:type="gramStart"/>
      <w:r>
        <w:rPr>
          <w:vertAlign w:val="subscript"/>
        </w:rPr>
        <w:t>1</w:t>
      </w:r>
      <w:proofErr w:type="gramEnd"/>
      <w:r>
        <w:t xml:space="preserve"> (руб. за одно присоединение) за технологическое присоединение к электрическим сетям определяется в разбивке по следующим мероприятиям:</w:t>
      </w:r>
    </w:p>
    <w:p w:rsidR="00D84B55" w:rsidRDefault="00D84B55">
      <w:pPr>
        <w:pStyle w:val="ConsPlusNormal"/>
        <w:spacing w:before="200"/>
        <w:ind w:firstLine="540"/>
        <w:jc w:val="both"/>
      </w:pPr>
      <w:r>
        <w:t>- Подготовка и выдача сетевой организацией технических условий Заявителю;</w:t>
      </w:r>
    </w:p>
    <w:p w:rsidR="00D84B55" w:rsidRDefault="00D84B55">
      <w:pPr>
        <w:pStyle w:val="ConsPlusNormal"/>
        <w:spacing w:before="200"/>
        <w:ind w:firstLine="540"/>
        <w:jc w:val="both"/>
      </w:pPr>
      <w:proofErr w:type="gramStart"/>
      <w:r>
        <w:t xml:space="preserve">- Проверка сетевой организацией выполнения Заявителем технических условий (включая процедуры, предусмотренные </w:t>
      </w:r>
      <w:hyperlink r:id="rId36">
        <w:r>
          <w:rPr>
            <w:color w:val="0000FF"/>
          </w:rPr>
          <w:t>подпунктами "г"</w:t>
        </w:r>
      </w:hyperlink>
      <w:r>
        <w:t xml:space="preserve"> - </w:t>
      </w:r>
      <w:hyperlink r:id="rId37">
        <w:r>
          <w:rPr>
            <w:color w:val="0000FF"/>
          </w:rPr>
          <w:t>"е" пункта 7</w:t>
        </w:r>
      </w:hyperlink>
      <w:r>
        <w:t xml:space="preserve"> Правил технологического присоединения (Собрание законодательства Российской Федерации, 2004, N 52, ст. 5525; 2022, N 27, ст. 4863).</w:t>
      </w:r>
      <w:proofErr w:type="gramEnd"/>
    </w:p>
    <w:p w:rsidR="00D84B55" w:rsidRDefault="00D84B55">
      <w:pPr>
        <w:pStyle w:val="ConsPlusNormal"/>
        <w:spacing w:before="200"/>
        <w:ind w:firstLine="540"/>
        <w:jc w:val="both"/>
      </w:pPr>
      <w:r>
        <w:t>Стандартизированные тарифные ставки С</w:t>
      </w:r>
      <w:proofErr w:type="gramStart"/>
      <w:r>
        <w:rPr>
          <w:vertAlign w:val="subscript"/>
        </w:rPr>
        <w:t>2</w:t>
      </w:r>
      <w:proofErr w:type="gramEnd"/>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С</w:t>
      </w:r>
      <w:r>
        <w:rPr>
          <w:vertAlign w:val="subscript"/>
        </w:rPr>
        <w:t>8</w:t>
      </w:r>
      <w:r>
        <w:t xml:space="preserve"> за технологическое присоединение к электрическим сетям определяются в ценах периода регулирования едиными для всех территориальных сетевых организаций по субъекту Российской Федерации с разбивкой согласно </w:t>
      </w:r>
      <w:hyperlink w:anchor="P1013">
        <w:r>
          <w:rPr>
            <w:color w:val="0000FF"/>
          </w:rPr>
          <w:t>приложению N 5</w:t>
        </w:r>
      </w:hyperlink>
      <w:r>
        <w:t xml:space="preserve"> к Методическим указаниям.</w:t>
      </w:r>
    </w:p>
    <w:p w:rsidR="00D84B55" w:rsidRDefault="00D84B55">
      <w:pPr>
        <w:pStyle w:val="ConsPlusNormal"/>
        <w:spacing w:before="200"/>
        <w:ind w:firstLine="540"/>
        <w:jc w:val="both"/>
      </w:pPr>
      <w:proofErr w:type="gramStart"/>
      <w:r>
        <w:t>Стандартизированные тарифные ставки могут быть дифференцированы по электроэнергетическим системам (для территориальных сетевых организаций в составе Единой энергетической системы России, для территориальных сетевых организаций в технологически изолированной электроэнергетической системе и для территориальных сетевых организаций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w:t>
      </w:r>
      <w:proofErr w:type="gramEnd"/>
    </w:p>
    <w:p w:rsidR="00D84B55" w:rsidRDefault="00D84B55">
      <w:pPr>
        <w:pStyle w:val="ConsPlusNormal"/>
        <w:jc w:val="both"/>
      </w:pPr>
    </w:p>
    <w:p w:rsidR="00D84B55" w:rsidRDefault="00D84B55">
      <w:pPr>
        <w:pStyle w:val="ConsPlusTitle"/>
        <w:jc w:val="center"/>
        <w:outlineLvl w:val="1"/>
      </w:pPr>
      <w:bookmarkStart w:id="14" w:name="P118"/>
      <w:bookmarkEnd w:id="14"/>
      <w:r>
        <w:t>II. Расчет платы за технологическое присоединение</w:t>
      </w:r>
    </w:p>
    <w:p w:rsidR="00D84B55" w:rsidRDefault="00D84B55">
      <w:pPr>
        <w:pStyle w:val="ConsPlusTitle"/>
        <w:jc w:val="center"/>
      </w:pPr>
      <w:r>
        <w:t>посредством применения стандартизированных тарифных ставок</w:t>
      </w:r>
    </w:p>
    <w:p w:rsidR="00D84B55" w:rsidRDefault="00D84B55">
      <w:pPr>
        <w:pStyle w:val="ConsPlusTitle"/>
        <w:jc w:val="center"/>
      </w:pPr>
      <w:r>
        <w:t>и посредством применения формулы</w:t>
      </w:r>
    </w:p>
    <w:p w:rsidR="00D84B55" w:rsidRDefault="00D84B55">
      <w:pPr>
        <w:pStyle w:val="ConsPlusNormal"/>
        <w:jc w:val="both"/>
      </w:pPr>
    </w:p>
    <w:p w:rsidR="00D84B55" w:rsidRDefault="00D84B55">
      <w:pPr>
        <w:pStyle w:val="ConsPlusNormal"/>
        <w:ind w:firstLine="540"/>
        <w:jc w:val="both"/>
      </w:pPr>
      <w:r>
        <w:t xml:space="preserve">23.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а также о расходах на обеспечение средствами коммерческого учета электрической энергии (мощности) предоставляются территориальными сетевыми организациями в соответствии с </w:t>
      </w:r>
      <w:hyperlink r:id="rId38">
        <w:r>
          <w:rPr>
            <w:color w:val="0000FF"/>
          </w:rPr>
          <w:t>абзацем двенадцатым пункта 87</w:t>
        </w:r>
      </w:hyperlink>
      <w:r>
        <w:t xml:space="preserve"> Основ ценообразования отдельно по каждому мероприятию. </w:t>
      </w:r>
      <w:proofErr w:type="gramStart"/>
      <w:r>
        <w:t xml:space="preserve">Рекомендуемый образец информации по расходам на строительство введенных в эксплуатацию объектов электросетевого хозяйства для целей технологического присоединения и для целей реализации иных мероприятий инвестиционной программы территориальной сетевой организации, а также на обеспечение средствами коммерческого учета электрической энергии (мощности) приведен в </w:t>
      </w:r>
      <w:hyperlink w:anchor="P417">
        <w:r>
          <w:rPr>
            <w:color w:val="0000FF"/>
          </w:rPr>
          <w:t>приложении N 1</w:t>
        </w:r>
      </w:hyperlink>
      <w:r>
        <w:t xml:space="preserve"> к Методическим указаниям).</w:t>
      </w:r>
      <w:proofErr w:type="gramEnd"/>
    </w:p>
    <w:p w:rsidR="00D84B55" w:rsidRDefault="00D84B55">
      <w:pPr>
        <w:pStyle w:val="ConsPlusNormal"/>
        <w:spacing w:before="200"/>
        <w:ind w:firstLine="540"/>
        <w:jc w:val="both"/>
      </w:pPr>
      <w:r>
        <w:t xml:space="preserve">Сведения о расходах на выполнение мероприятий по технологическому присоединению, предусмотренных </w:t>
      </w:r>
      <w:hyperlink w:anchor="P89">
        <w:r>
          <w:rPr>
            <w:color w:val="0000FF"/>
          </w:rPr>
          <w:t>подпунктами "а"</w:t>
        </w:r>
      </w:hyperlink>
      <w:r>
        <w:t xml:space="preserve"> и </w:t>
      </w:r>
      <w:hyperlink w:anchor="P91">
        <w:r>
          <w:rPr>
            <w:color w:val="0000FF"/>
          </w:rPr>
          <w:t>"в" пункта 16</w:t>
        </w:r>
      </w:hyperlink>
      <w:r>
        <w:t xml:space="preserve"> Методических указаний, предоставляются за три последних года, по которым имеются отчетные данные. </w:t>
      </w:r>
      <w:proofErr w:type="gramStart"/>
      <w:r>
        <w:t xml:space="preserve">Рекомендуемый образец информации по расходам на выполнение мероприятий по технологическому присоединению, предусмотренных </w:t>
      </w:r>
      <w:hyperlink w:anchor="P89">
        <w:r>
          <w:rPr>
            <w:color w:val="0000FF"/>
          </w:rPr>
          <w:t>подпунктами "а"</w:t>
        </w:r>
      </w:hyperlink>
      <w:r>
        <w:t xml:space="preserve"> и </w:t>
      </w:r>
      <w:hyperlink w:anchor="P91">
        <w:r>
          <w:rPr>
            <w:color w:val="0000FF"/>
          </w:rPr>
          <w:t>"в" пункта 16</w:t>
        </w:r>
      </w:hyperlink>
      <w:r>
        <w:t xml:space="preserve"> Методических указаний, приведен в </w:t>
      </w:r>
      <w:hyperlink w:anchor="P732">
        <w:r>
          <w:rPr>
            <w:color w:val="0000FF"/>
          </w:rPr>
          <w:t>приложении N 2</w:t>
        </w:r>
      </w:hyperlink>
      <w:r>
        <w:t xml:space="preserve"> к Методическим указаниям).</w:t>
      </w:r>
      <w:proofErr w:type="gramEnd"/>
    </w:p>
    <w:p w:rsidR="00D84B55" w:rsidRDefault="00D84B55">
      <w:pPr>
        <w:pStyle w:val="ConsPlusNormal"/>
        <w:spacing w:before="200"/>
        <w:ind w:firstLine="540"/>
        <w:jc w:val="both"/>
      </w:pPr>
      <w:r>
        <w:t xml:space="preserve">Расходы на выполнение мероприятий по технологическому присоединению, предусмотренных </w:t>
      </w:r>
      <w:hyperlink w:anchor="P89">
        <w:r>
          <w:rPr>
            <w:color w:val="0000FF"/>
          </w:rPr>
          <w:t>подпунктами "а"</w:t>
        </w:r>
      </w:hyperlink>
      <w:r>
        <w:t xml:space="preserve"> и </w:t>
      </w:r>
      <w:hyperlink w:anchor="P91">
        <w:r>
          <w:rPr>
            <w:color w:val="0000FF"/>
          </w:rPr>
          <w:t>"в" пункта 16</w:t>
        </w:r>
      </w:hyperlink>
      <w:r>
        <w:t xml:space="preserve"> Методических указаний, определяются в соответствии с данными раздельного учета сетевой организации.</w:t>
      </w:r>
    </w:p>
    <w:p w:rsidR="00D84B55" w:rsidRDefault="00D84B55">
      <w:pPr>
        <w:pStyle w:val="ConsPlusNormal"/>
        <w:spacing w:before="200"/>
        <w:ind w:firstLine="540"/>
        <w:jc w:val="both"/>
      </w:pPr>
      <w:r>
        <w:t xml:space="preserve">24. </w:t>
      </w:r>
      <w:proofErr w:type="gramStart"/>
      <w:r>
        <w:t xml:space="preserve">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уровне напряжения i (руб.) посредством применения стандартизированных тарифных ставок, включающих расходы по мероприятиям, указанным в </w:t>
      </w:r>
      <w:hyperlink w:anchor="P88">
        <w:r>
          <w:rPr>
            <w:color w:val="0000FF"/>
          </w:rPr>
          <w:t>пункте 16</w:t>
        </w:r>
      </w:hyperlink>
      <w:r>
        <w:t xml:space="preserve"> Методических указаний (кроме </w:t>
      </w:r>
      <w:hyperlink w:anchor="P90">
        <w:r>
          <w:rPr>
            <w:color w:val="0000FF"/>
          </w:rPr>
          <w:t>подпункта "б"</w:t>
        </w:r>
      </w:hyperlink>
      <w:r>
        <w:t>), и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потребителей</w:t>
      </w:r>
      <w:proofErr w:type="gramEnd"/>
      <w:r>
        <w:t>, а также расходов на обеспечение средствами коммерческого учета электрической энергии (мощности), определяемых по каждому мероприятию:</w:t>
      </w:r>
    </w:p>
    <w:p w:rsidR="00D84B55" w:rsidRDefault="00D84B55">
      <w:pPr>
        <w:pStyle w:val="ConsPlusNormal"/>
        <w:spacing w:before="200"/>
        <w:ind w:firstLine="540"/>
        <w:jc w:val="both"/>
      </w:pPr>
      <w:r>
        <w:t>С</w:t>
      </w:r>
      <w:proofErr w:type="gramStart"/>
      <w:r>
        <w:rPr>
          <w:vertAlign w:val="subscript"/>
        </w:rPr>
        <w:t>1</w:t>
      </w:r>
      <w:proofErr w:type="gramEnd"/>
      <w: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88">
        <w:r>
          <w:rPr>
            <w:color w:val="0000FF"/>
          </w:rPr>
          <w:t>пункте 16</w:t>
        </w:r>
      </w:hyperlink>
      <w:r>
        <w:t xml:space="preserve"> Методических указаний (кроме </w:t>
      </w:r>
      <w:hyperlink w:anchor="P90">
        <w:r>
          <w:rPr>
            <w:color w:val="0000FF"/>
          </w:rPr>
          <w:t>подпункта "б"</w:t>
        </w:r>
      </w:hyperlink>
      <w:r>
        <w:t>) (руб. за одно присоединение).</w:t>
      </w:r>
    </w:p>
    <w:p w:rsidR="00D84B55" w:rsidRDefault="00D84B55">
      <w:pPr>
        <w:pStyle w:val="ConsPlusNormal"/>
        <w:spacing w:before="200"/>
        <w:ind w:firstLine="540"/>
        <w:jc w:val="both"/>
      </w:pPr>
      <w:r>
        <w:t>С</w:t>
      </w:r>
      <w:proofErr w:type="gramStart"/>
      <w:r>
        <w:rPr>
          <w:vertAlign w:val="subscript"/>
        </w:rPr>
        <w:t>1</w:t>
      </w:r>
      <w:proofErr w:type="gramEnd"/>
      <w:r>
        <w:t xml:space="preserve"> определяется итоговой суммой, а также в разбивке по следующим ставкам (руб. за одно присоединение):</w:t>
      </w:r>
    </w:p>
    <w:p w:rsidR="00D84B55" w:rsidRDefault="00D84B55">
      <w:pPr>
        <w:pStyle w:val="ConsPlusNormal"/>
        <w:spacing w:before="200"/>
        <w:ind w:firstLine="540"/>
        <w:jc w:val="both"/>
      </w:pPr>
      <w:r>
        <w:t>С</w:t>
      </w:r>
      <w:proofErr w:type="gramStart"/>
      <w:r>
        <w:rPr>
          <w:vertAlign w:val="subscript"/>
        </w:rPr>
        <w:t>1</w:t>
      </w:r>
      <w:proofErr w:type="gramEnd"/>
      <w:r>
        <w:rPr>
          <w:vertAlign w:val="subscript"/>
        </w:rPr>
        <w:t>.1</w:t>
      </w:r>
      <w:r>
        <w:t xml:space="preserve"> - подготовка и выдача сетевой организацией технических условий Заявителю (ТУ);</w:t>
      </w:r>
    </w:p>
    <w:p w:rsidR="00D84B55" w:rsidRDefault="00D84B55">
      <w:pPr>
        <w:pStyle w:val="ConsPlusNormal"/>
        <w:spacing w:before="200"/>
        <w:ind w:firstLine="540"/>
        <w:jc w:val="both"/>
      </w:pPr>
      <w:r>
        <w:t>С</w:t>
      </w:r>
      <w:proofErr w:type="gramStart"/>
      <w:r>
        <w:rPr>
          <w:vertAlign w:val="subscript"/>
        </w:rPr>
        <w:t>1</w:t>
      </w:r>
      <w:proofErr w:type="gramEnd"/>
      <w:r>
        <w:rPr>
          <w:vertAlign w:val="subscript"/>
        </w:rPr>
        <w:t>.2</w:t>
      </w:r>
      <w:r>
        <w:t xml:space="preserve"> - проверка сетевой организацией выполнения Заявителем технических условий, утверждаемой со следующей дифференциацией:</w:t>
      </w:r>
    </w:p>
    <w:p w:rsidR="00D84B55" w:rsidRDefault="00D84B55">
      <w:pPr>
        <w:pStyle w:val="ConsPlusNormal"/>
        <w:spacing w:before="200"/>
        <w:ind w:firstLine="540"/>
        <w:jc w:val="both"/>
      </w:pPr>
      <w:bookmarkStart w:id="15" w:name="P130"/>
      <w:bookmarkEnd w:id="15"/>
      <w:r>
        <w:t>С</w:t>
      </w:r>
      <w:proofErr w:type="gramStart"/>
      <w:r>
        <w:rPr>
          <w:vertAlign w:val="subscript"/>
        </w:rPr>
        <w:t>1</w:t>
      </w:r>
      <w:proofErr w:type="gramEnd"/>
      <w:r>
        <w:rPr>
          <w:vertAlign w:val="subscript"/>
        </w:rPr>
        <w:t>.2.1</w:t>
      </w:r>
      <w:r>
        <w:t xml:space="preserve"> - для случаев технологического присоединения объектов Заявителей, указанных в </w:t>
      </w:r>
      <w:hyperlink r:id="rId39">
        <w:r>
          <w:rPr>
            <w:color w:val="0000FF"/>
          </w:rPr>
          <w:t>пунктах 12(1)</w:t>
        </w:r>
      </w:hyperlink>
      <w:r>
        <w:t xml:space="preserve">, </w:t>
      </w:r>
      <w:hyperlink r:id="rId40">
        <w:r>
          <w:rPr>
            <w:color w:val="0000FF"/>
          </w:rPr>
          <w:t>13(2)</w:t>
        </w:r>
      </w:hyperlink>
      <w:r>
        <w:t xml:space="preserve"> - </w:t>
      </w:r>
      <w:hyperlink r:id="rId41">
        <w:r>
          <w:rPr>
            <w:color w:val="0000FF"/>
          </w:rPr>
          <w:t>13(5)</w:t>
        </w:r>
      </w:hyperlink>
      <w:r>
        <w:t xml:space="preserve"> и </w:t>
      </w:r>
      <w:hyperlink r:id="rId42">
        <w:r>
          <w:rPr>
            <w:color w:val="0000FF"/>
          </w:rPr>
          <w:t>14</w:t>
        </w:r>
      </w:hyperlink>
      <w:r>
        <w:t xml:space="preserve"> Правил технологического присоединения (Собрание законодательства Российской Федерации, 2004, N 52, ст. 5525; 2022, N 27, ст. 4863), если технологическое присоединение энергопринимающих устройств таких Заявителей осуществляется на уровне напряжения 0,4 кВ и ниже;</w:t>
      </w:r>
    </w:p>
    <w:p w:rsidR="00D84B55" w:rsidRDefault="00D84B55">
      <w:pPr>
        <w:pStyle w:val="ConsPlusNormal"/>
        <w:spacing w:before="200"/>
        <w:ind w:firstLine="540"/>
        <w:jc w:val="both"/>
      </w:pPr>
      <w:bookmarkStart w:id="16" w:name="P131"/>
      <w:bookmarkEnd w:id="16"/>
      <w:r>
        <w:t>С</w:t>
      </w:r>
      <w:proofErr w:type="gramStart"/>
      <w:r>
        <w:rPr>
          <w:vertAlign w:val="subscript"/>
        </w:rPr>
        <w:t>1</w:t>
      </w:r>
      <w:proofErr w:type="gramEnd"/>
      <w:r>
        <w:rPr>
          <w:vertAlign w:val="subscript"/>
        </w:rPr>
        <w:t>.2.2</w:t>
      </w:r>
      <w:r>
        <w:t xml:space="preserve"> - для случаев технологического присоединения объектов Заявителей, не предусмотренных </w:t>
      </w:r>
      <w:hyperlink w:anchor="P130">
        <w:r>
          <w:rPr>
            <w:color w:val="0000FF"/>
          </w:rPr>
          <w:t>абзацем шестым</w:t>
        </w:r>
      </w:hyperlink>
      <w:r>
        <w:t xml:space="preserve"> настоящего пункта;</w:t>
      </w:r>
    </w:p>
    <w:p w:rsidR="00D84B55" w:rsidRDefault="00D84B55">
      <w:pPr>
        <w:pStyle w:val="ConsPlusNormal"/>
        <w:spacing w:before="200"/>
        <w:ind w:firstLine="540"/>
        <w:jc w:val="both"/>
      </w:pPr>
      <w:r>
        <w:t>С</w:t>
      </w:r>
      <w:proofErr w:type="gramStart"/>
      <w:r>
        <w:rPr>
          <w:vertAlign w:val="subscript"/>
        </w:rPr>
        <w:t>2</w:t>
      </w:r>
      <w:proofErr w:type="gramEnd"/>
      <w:r>
        <w:rPr>
          <w:vertAlign w:val="subscript"/>
        </w:rPr>
        <w:t>,i</w:t>
      </w:r>
      <w: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p w:rsidR="00D84B55" w:rsidRDefault="00D84B55">
      <w:pPr>
        <w:pStyle w:val="ConsPlusNormal"/>
        <w:spacing w:before="200"/>
        <w:ind w:firstLine="540"/>
        <w:jc w:val="both"/>
      </w:pPr>
      <w:r>
        <w:t>С</w:t>
      </w:r>
      <w:r>
        <w:rPr>
          <w:vertAlign w:val="subscript"/>
        </w:rPr>
        <w:t>3,i</w:t>
      </w:r>
      <w:r>
        <w:t xml:space="preserve"> -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w:t>
      </w:r>
    </w:p>
    <w:p w:rsidR="00D84B55" w:rsidRDefault="00D84B55">
      <w:pPr>
        <w:pStyle w:val="ConsPlusNormal"/>
        <w:spacing w:before="200"/>
        <w:ind w:firstLine="540"/>
        <w:jc w:val="both"/>
      </w:pPr>
      <w:r>
        <w:t>С</w:t>
      </w:r>
      <w:proofErr w:type="gramStart"/>
      <w:r>
        <w:rPr>
          <w:vertAlign w:val="subscript"/>
        </w:rPr>
        <w:t>4</w:t>
      </w:r>
      <w:proofErr w:type="gramEnd"/>
      <w:r>
        <w:rPr>
          <w:vertAlign w:val="subscript"/>
        </w:rPr>
        <w:t>,i</w:t>
      </w:r>
      <w:r>
        <w:t xml:space="preserve"> - стандартизированная тарифная ставка на покрытие расходов сетевой организации на строительство пунктов секционирования на i-м уровне напряжения (руб./шт.);</w:t>
      </w:r>
    </w:p>
    <w:p w:rsidR="00D84B55" w:rsidRDefault="00D84B55">
      <w:pPr>
        <w:pStyle w:val="ConsPlusNormal"/>
        <w:spacing w:before="200"/>
        <w:ind w:firstLine="540"/>
        <w:jc w:val="both"/>
      </w:pPr>
      <w:r>
        <w:t>С</w:t>
      </w:r>
      <w:r>
        <w:rPr>
          <w:vertAlign w:val="subscript"/>
        </w:rPr>
        <w:t>5,i</w:t>
      </w:r>
      <w:r>
        <w:t xml:space="preserve"> - стандартизированная тарифная ставка на покрытие расходов сетевой организации на строительство комплектных трансформаторных подстанций (КТП) с уровнем напряжения до 35 кВ (руб./кВт);</w:t>
      </w:r>
    </w:p>
    <w:p w:rsidR="00D84B55" w:rsidRDefault="00D84B55">
      <w:pPr>
        <w:pStyle w:val="ConsPlusNormal"/>
        <w:spacing w:before="200"/>
        <w:ind w:firstLine="540"/>
        <w:jc w:val="both"/>
      </w:pPr>
      <w:r>
        <w:t>С</w:t>
      </w:r>
      <w:proofErr w:type="gramStart"/>
      <w:r>
        <w:rPr>
          <w:vertAlign w:val="subscript"/>
        </w:rPr>
        <w:t>6</w:t>
      </w:r>
      <w:proofErr w:type="gramEnd"/>
      <w:r>
        <w:rPr>
          <w:vertAlign w:val="subscript"/>
        </w:rPr>
        <w:t>,i</w:t>
      </w:r>
      <w: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w:t>
      </w:r>
    </w:p>
    <w:p w:rsidR="00D84B55" w:rsidRDefault="00D84B55">
      <w:pPr>
        <w:pStyle w:val="ConsPlusNormal"/>
        <w:spacing w:before="200"/>
        <w:ind w:firstLine="540"/>
        <w:jc w:val="both"/>
      </w:pPr>
      <w:r>
        <w:t>С</w:t>
      </w:r>
      <w:proofErr w:type="gramStart"/>
      <w:r>
        <w:rPr>
          <w:vertAlign w:val="subscript"/>
        </w:rPr>
        <w:t>7</w:t>
      </w:r>
      <w:proofErr w:type="gramEnd"/>
      <w:r>
        <w:rPr>
          <w:vertAlign w:val="subscript"/>
        </w:rPr>
        <w:t>,i</w:t>
      </w:r>
      <w:r>
        <w:t xml:space="preserve"> - стандартизированная тарифная ставка на покрытие расходов сетевой организации на строительство центров питания, подстанций уровнем напряжения 35 кВ и выше (ПС) (руб./кВт).</w:t>
      </w:r>
    </w:p>
    <w:p w:rsidR="00D84B55" w:rsidRDefault="00D84B55">
      <w:pPr>
        <w:pStyle w:val="ConsPlusNormal"/>
        <w:spacing w:before="200"/>
        <w:ind w:firstLine="540"/>
        <w:jc w:val="both"/>
      </w:pPr>
      <w:r>
        <w:t>С</w:t>
      </w:r>
      <w:r>
        <w:rPr>
          <w:vertAlign w:val="subscript"/>
        </w:rPr>
        <w:t>8,i</w:t>
      </w:r>
      <w: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(рублей за точку учета).</w:t>
      </w:r>
    </w:p>
    <w:p w:rsidR="00D84B55" w:rsidRDefault="00D84B55">
      <w:pPr>
        <w:pStyle w:val="ConsPlusNormal"/>
        <w:spacing w:before="200"/>
        <w:ind w:firstLine="540"/>
        <w:jc w:val="both"/>
      </w:pPr>
      <w:r>
        <w:t>25. Стандартизированная тарифная ставка С</w:t>
      </w:r>
      <w:proofErr w:type="gramStart"/>
      <w:r>
        <w:rPr>
          <w:vertAlign w:val="subscript"/>
        </w:rPr>
        <w:t>1</w:t>
      </w:r>
      <w:proofErr w:type="gramEnd"/>
      <w:r>
        <w:t xml:space="preserve"> рассчитывается по мероприятиям, указанным в </w:t>
      </w:r>
      <w:hyperlink w:anchor="P88">
        <w:r>
          <w:rPr>
            <w:color w:val="0000FF"/>
          </w:rPr>
          <w:t>пункте 16</w:t>
        </w:r>
      </w:hyperlink>
      <w:r>
        <w:t xml:space="preserve"> (кроме </w:t>
      </w:r>
      <w:hyperlink w:anchor="P90">
        <w:r>
          <w:rPr>
            <w:color w:val="0000FF"/>
          </w:rPr>
          <w:t>подпункта "б"</w:t>
        </w:r>
      </w:hyperlink>
      <w:r>
        <w:t xml:space="preserve">) Методических указаний, в разбивке по мероприятиям в соответствии с </w:t>
      </w:r>
      <w:hyperlink w:anchor="P111">
        <w:r>
          <w:rPr>
            <w:color w:val="0000FF"/>
          </w:rPr>
          <w:t>пунктом 22</w:t>
        </w:r>
      </w:hyperlink>
      <w:r>
        <w:t xml:space="preserve"> Методических указаний.</w:t>
      </w:r>
    </w:p>
    <w:p w:rsidR="00D84B55" w:rsidRDefault="00D84B55">
      <w:pPr>
        <w:pStyle w:val="ConsPlusNormal"/>
        <w:spacing w:before="200"/>
        <w:ind w:firstLine="540"/>
        <w:jc w:val="both"/>
      </w:pPr>
      <w:r>
        <w:t xml:space="preserve">На основании информации, представленной сетевыми организациями, регулирующим органом определяется величина фактических экономически обоснованных расходов отдельно по мероприятиям, указанным в </w:t>
      </w:r>
      <w:hyperlink w:anchor="P88">
        <w:r>
          <w:rPr>
            <w:color w:val="0000FF"/>
          </w:rPr>
          <w:t>пункте 16</w:t>
        </w:r>
      </w:hyperlink>
      <w:r>
        <w:t xml:space="preserve"> (кроме </w:t>
      </w:r>
      <w:hyperlink w:anchor="P90">
        <w:r>
          <w:rPr>
            <w:color w:val="0000FF"/>
          </w:rPr>
          <w:t>подпункта "б"</w:t>
        </w:r>
      </w:hyperlink>
      <w:r>
        <w:t xml:space="preserve">) Методических указаний, на одно технологическое присоединение по каждой сетевой организации за каждый из трех предшествующих периодов регулирования. Результаты расчетов, из которых формируется выборка для расчета стандартизированной тарифной ставки на год n, сводятся в таблицу. Рекомендуемый образец оформления результатов расчета экономически обоснованных расходов на выполнение мероприятий по технологическому присоединению, предусмотренных </w:t>
      </w:r>
      <w:hyperlink w:anchor="P89">
        <w:r>
          <w:rPr>
            <w:color w:val="0000FF"/>
          </w:rPr>
          <w:t>подпунктами "а"</w:t>
        </w:r>
      </w:hyperlink>
      <w:r>
        <w:t xml:space="preserve"> и </w:t>
      </w:r>
      <w:hyperlink w:anchor="P91">
        <w:r>
          <w:rPr>
            <w:color w:val="0000FF"/>
          </w:rPr>
          <w:t>"в" пункта 16</w:t>
        </w:r>
      </w:hyperlink>
      <w:r>
        <w:t xml:space="preserve"> Методических указаний, приведен в </w:t>
      </w:r>
      <w:hyperlink w:anchor="P920">
        <w:r>
          <w:rPr>
            <w:color w:val="0000FF"/>
          </w:rPr>
          <w:t>приложении N 4</w:t>
        </w:r>
      </w:hyperlink>
      <w:r>
        <w:t xml:space="preserve"> к Методическим указаниям.</w:t>
      </w:r>
    </w:p>
    <w:p w:rsidR="00D84B55" w:rsidRDefault="00D84B55">
      <w:pPr>
        <w:pStyle w:val="ConsPlusNormal"/>
        <w:spacing w:before="200"/>
        <w:ind w:firstLine="540"/>
        <w:jc w:val="both"/>
      </w:pPr>
      <w:proofErr w:type="gramStart"/>
      <w:r>
        <w:t>В выборку за каждый год (n-4; n-3; n-2) включаются территориальные сетевые организации, для которых результаты расчета экономически обоснованных расходов по фактическим данным на выполнение мероприятий по технологическому присоединению не ниже предельного минимального уровня расходов на одно технологическое присоединение и не превышают предельный максимальный уровень расходов на одно технологическое присоединение, определяемые по формулам:</w:t>
      </w:r>
      <w:proofErr w:type="gramEnd"/>
    </w:p>
    <w:p w:rsidR="00D84B55" w:rsidRDefault="00D84B55">
      <w:pPr>
        <w:pStyle w:val="ConsPlusNormal"/>
        <w:jc w:val="both"/>
      </w:pPr>
    </w:p>
    <w:p w:rsidR="00D84B55" w:rsidRDefault="00D84B55">
      <w:pPr>
        <w:pStyle w:val="ConsPlusNormal"/>
        <w:jc w:val="center"/>
      </w:pPr>
      <w:r>
        <w:rPr>
          <w:noProof/>
          <w:position w:val="-8"/>
        </w:rPr>
        <w:drawing>
          <wp:inline distT="0" distB="0" distL="0" distR="0">
            <wp:extent cx="1181100"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r>
        <w:t>, (5),</w:t>
      </w:r>
    </w:p>
    <w:p w:rsidR="00D84B55" w:rsidRDefault="00D84B55">
      <w:pPr>
        <w:pStyle w:val="ConsPlusNormal"/>
        <w:jc w:val="both"/>
      </w:pPr>
    </w:p>
    <w:p w:rsidR="00D84B55" w:rsidRDefault="00D84B55">
      <w:pPr>
        <w:pStyle w:val="ConsPlusNormal"/>
        <w:jc w:val="center"/>
      </w:pPr>
      <w:r>
        <w:rPr>
          <w:noProof/>
          <w:position w:val="-8"/>
        </w:rPr>
        <w:drawing>
          <wp:inline distT="0" distB="0" distL="0" distR="0">
            <wp:extent cx="1181100"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r>
        <w:t>, (6),</w:t>
      </w:r>
    </w:p>
    <w:p w:rsidR="00D84B55" w:rsidRDefault="00D84B55">
      <w:pPr>
        <w:pStyle w:val="ConsPlusNormal"/>
        <w:jc w:val="both"/>
      </w:pPr>
    </w:p>
    <w:p w:rsidR="00D84B55" w:rsidRDefault="00D84B55">
      <w:pPr>
        <w:pStyle w:val="ConsPlusNormal"/>
        <w:jc w:val="center"/>
      </w:pPr>
      <w:r>
        <w:rPr>
          <w:noProof/>
          <w:position w:val="-8"/>
        </w:rPr>
        <w:drawing>
          <wp:inline distT="0" distB="0" distL="0" distR="0">
            <wp:extent cx="1333500"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0" cy="238125"/>
                    </a:xfrm>
                    <a:prstGeom prst="rect">
                      <a:avLst/>
                    </a:prstGeom>
                    <a:noFill/>
                    <a:ln>
                      <a:noFill/>
                    </a:ln>
                  </pic:spPr>
                </pic:pic>
              </a:graphicData>
            </a:graphic>
          </wp:inline>
        </w:drawing>
      </w:r>
      <w:r>
        <w:t>, (7),</w:t>
      </w:r>
    </w:p>
    <w:p w:rsidR="00D84B55" w:rsidRDefault="00D84B55">
      <w:pPr>
        <w:pStyle w:val="ConsPlusNormal"/>
        <w:jc w:val="both"/>
      </w:pPr>
    </w:p>
    <w:p w:rsidR="00D84B55" w:rsidRDefault="00D84B55">
      <w:pPr>
        <w:pStyle w:val="ConsPlusNormal"/>
        <w:jc w:val="center"/>
      </w:pPr>
      <w:r>
        <w:rPr>
          <w:noProof/>
          <w:position w:val="-8"/>
        </w:rPr>
        <w:drawing>
          <wp:inline distT="0" distB="0" distL="0" distR="0">
            <wp:extent cx="1323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23975" cy="238125"/>
                    </a:xfrm>
                    <a:prstGeom prst="rect">
                      <a:avLst/>
                    </a:prstGeom>
                    <a:noFill/>
                    <a:ln>
                      <a:noFill/>
                    </a:ln>
                  </pic:spPr>
                </pic:pic>
              </a:graphicData>
            </a:graphic>
          </wp:inline>
        </w:drawing>
      </w:r>
      <w:r>
        <w:t>, (8),</w:t>
      </w:r>
    </w:p>
    <w:p w:rsidR="00D84B55" w:rsidRDefault="00D84B55">
      <w:pPr>
        <w:pStyle w:val="ConsPlusNormal"/>
        <w:jc w:val="both"/>
      </w:pPr>
    </w:p>
    <w:p w:rsidR="00D84B55" w:rsidRDefault="00D84B55">
      <w:pPr>
        <w:pStyle w:val="ConsPlusNormal"/>
        <w:jc w:val="center"/>
      </w:pPr>
      <w:r>
        <w:rPr>
          <w:noProof/>
          <w:position w:val="-8"/>
        </w:rPr>
        <w:drawing>
          <wp:inline distT="0" distB="0" distL="0" distR="0">
            <wp:extent cx="134302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r>
        <w:t>, (9),</w:t>
      </w:r>
    </w:p>
    <w:p w:rsidR="00D84B55" w:rsidRDefault="00D84B55">
      <w:pPr>
        <w:pStyle w:val="ConsPlusNormal"/>
        <w:jc w:val="both"/>
      </w:pPr>
    </w:p>
    <w:p w:rsidR="00D84B55" w:rsidRDefault="00D84B55">
      <w:pPr>
        <w:pStyle w:val="ConsPlusNormal"/>
        <w:jc w:val="center"/>
      </w:pPr>
      <w:r>
        <w:rPr>
          <w:noProof/>
          <w:position w:val="-8"/>
        </w:rPr>
        <w:drawing>
          <wp:inline distT="0" distB="0" distL="0" distR="0">
            <wp:extent cx="134302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r>
        <w:t>, (10),</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r>
        <w:rPr>
          <w:noProof/>
          <w:position w:val="-8"/>
        </w:rPr>
        <w:drawing>
          <wp:inline distT="0" distB="0" distL="0" distR="0">
            <wp:extent cx="35242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t xml:space="preserve"> - средняя арифметическая величина экономически обоснованных расходов территориальных сетевых организаций на подготовку и выдачу сетевой организацией технических условий Заявителю, определенная на одно присоединение, тыс. руб.;</w:t>
      </w:r>
    </w:p>
    <w:p w:rsidR="00D84B55" w:rsidRDefault="00D84B55">
      <w:pPr>
        <w:pStyle w:val="ConsPlusNormal"/>
        <w:spacing w:before="200"/>
        <w:ind w:firstLine="540"/>
        <w:jc w:val="both"/>
      </w:pPr>
      <w:r>
        <w:rPr>
          <w:noProof/>
          <w:position w:val="-8"/>
        </w:rPr>
        <w:drawing>
          <wp:inline distT="0" distB="0" distL="0" distR="0">
            <wp:extent cx="304800"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D84B55" w:rsidRDefault="00D84B55">
      <w:pPr>
        <w:pStyle w:val="ConsPlusNormal"/>
        <w:spacing w:before="200"/>
        <w:ind w:firstLine="540"/>
        <w:jc w:val="both"/>
      </w:pPr>
      <w:r>
        <w:rPr>
          <w:noProof/>
          <w:position w:val="-8"/>
        </w:rPr>
        <w:drawing>
          <wp:inline distT="0" distB="0" distL="0" distR="0">
            <wp:extent cx="304800"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D84B55" w:rsidRDefault="00D84B55">
      <w:pPr>
        <w:pStyle w:val="ConsPlusNormal"/>
        <w:spacing w:before="200"/>
        <w:ind w:firstLine="540"/>
        <w:jc w:val="both"/>
      </w:pPr>
      <w:r>
        <w:rPr>
          <w:noProof/>
          <w:position w:val="-8"/>
        </w:rPr>
        <w:drawing>
          <wp:inline distT="0" distB="0" distL="0" distR="0">
            <wp:extent cx="3714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 средняя арифметическая величина экономически обоснованных расходов территориальных сетевых организаций на выдачу акта об осуществлении технологического присоединения Заявителям, указанным в </w:t>
      </w:r>
      <w:hyperlink w:anchor="P130">
        <w:r>
          <w:rPr>
            <w:color w:val="0000FF"/>
          </w:rPr>
          <w:t>абзаце шестом пункта 24</w:t>
        </w:r>
      </w:hyperlink>
      <w:r>
        <w:t xml:space="preserve"> Методических указаний, определенная на одно присоединение, тыс. руб.;</w:t>
      </w:r>
    </w:p>
    <w:p w:rsidR="00D84B55" w:rsidRDefault="00D84B55">
      <w:pPr>
        <w:pStyle w:val="ConsPlusNormal"/>
        <w:spacing w:before="200"/>
        <w:ind w:firstLine="540"/>
        <w:jc w:val="both"/>
      </w:pPr>
      <w:r>
        <w:rPr>
          <w:noProof/>
          <w:position w:val="-8"/>
        </w:rPr>
        <w:drawing>
          <wp:inline distT="0" distB="0" distL="0" distR="0">
            <wp:extent cx="3714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выдачу уведомления об обеспечении сетевой организацией возможности присоединения к электрическим сетям Заявителям, указанным в </w:t>
      </w:r>
      <w:hyperlink w:anchor="P130">
        <w:r>
          <w:rPr>
            <w:color w:val="0000FF"/>
          </w:rPr>
          <w:t>абзаце шестом пункта 24</w:t>
        </w:r>
      </w:hyperlink>
      <w:r>
        <w:t xml:space="preserve"> Методических указаний, определенный на одно присоединение, тыс. руб.;</w:t>
      </w:r>
    </w:p>
    <w:p w:rsidR="00D84B55" w:rsidRDefault="00D84B55">
      <w:pPr>
        <w:pStyle w:val="ConsPlusNormal"/>
        <w:spacing w:before="200"/>
        <w:ind w:firstLine="540"/>
        <w:jc w:val="both"/>
      </w:pPr>
      <w:r>
        <w:rPr>
          <w:noProof/>
          <w:position w:val="-8"/>
        </w:rPr>
        <w:drawing>
          <wp:inline distT="0" distB="0" distL="0" distR="0">
            <wp:extent cx="3714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выдачу акта об осуществлении технологического присоединения Заявителям, указанным в </w:t>
      </w:r>
      <w:hyperlink w:anchor="P130">
        <w:r>
          <w:rPr>
            <w:color w:val="0000FF"/>
          </w:rPr>
          <w:t>абзаце шестом пункта 24</w:t>
        </w:r>
      </w:hyperlink>
      <w:r>
        <w:t xml:space="preserve"> Методических указаний, определенный на одно присоединение, тыс. руб.;</w:t>
      </w:r>
    </w:p>
    <w:p w:rsidR="00D84B55" w:rsidRDefault="00D84B55">
      <w:pPr>
        <w:pStyle w:val="ConsPlusNormal"/>
        <w:spacing w:before="200"/>
        <w:ind w:firstLine="540"/>
        <w:jc w:val="both"/>
      </w:pPr>
      <w:r>
        <w:rPr>
          <w:noProof/>
          <w:position w:val="-8"/>
        </w:rPr>
        <w:drawing>
          <wp:inline distT="0" distB="0" distL="0" distR="0">
            <wp:extent cx="381000"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 xml:space="preserve"> - средняя арифметическая величина экономически обоснованных расходов территориальных сетевых организаций на проверку выполнения технических условий Заявителями, указанными в </w:t>
      </w:r>
      <w:hyperlink w:anchor="P131">
        <w:r>
          <w:rPr>
            <w:color w:val="0000FF"/>
          </w:rPr>
          <w:t>абзаце седьмом пункта 24</w:t>
        </w:r>
      </w:hyperlink>
      <w:r>
        <w:t xml:space="preserve"> Методических указаний, </w:t>
      </w:r>
      <w:proofErr w:type="gramStart"/>
      <w:r>
        <w:t>определенный</w:t>
      </w:r>
      <w:proofErr w:type="gramEnd"/>
      <w:r>
        <w:t xml:space="preserve"> на одно присоединение, тыс. руб.;</w:t>
      </w:r>
    </w:p>
    <w:p w:rsidR="00D84B55" w:rsidRDefault="00D84B55">
      <w:pPr>
        <w:pStyle w:val="ConsPlusNormal"/>
        <w:spacing w:before="200"/>
        <w:ind w:firstLine="540"/>
        <w:jc w:val="both"/>
      </w:pPr>
      <w:r>
        <w:rPr>
          <w:noProof/>
          <w:position w:val="-8"/>
        </w:rPr>
        <w:drawing>
          <wp:inline distT="0" distB="0" distL="0" distR="0">
            <wp:extent cx="381000"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проверку сетевой организацией выполнения технических условий Заявителями, указанными в </w:t>
      </w:r>
      <w:hyperlink w:anchor="P131">
        <w:r>
          <w:rPr>
            <w:color w:val="0000FF"/>
          </w:rPr>
          <w:t>абзаце седьмом пункта 24</w:t>
        </w:r>
      </w:hyperlink>
      <w:r>
        <w:t xml:space="preserve"> Методических указаний, определенный на одно присоединение, тыс. руб.;</w:t>
      </w:r>
    </w:p>
    <w:p w:rsidR="00D84B55" w:rsidRDefault="00D84B55">
      <w:pPr>
        <w:pStyle w:val="ConsPlusNormal"/>
        <w:spacing w:before="200"/>
        <w:ind w:firstLine="540"/>
        <w:jc w:val="both"/>
      </w:pPr>
      <w:r>
        <w:rPr>
          <w:noProof/>
          <w:position w:val="-8"/>
        </w:rPr>
        <w:drawing>
          <wp:inline distT="0" distB="0" distL="0" distR="0">
            <wp:extent cx="381000"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проверку сетевой организацией выполнения технических условий Заявителями, указанными в </w:t>
      </w:r>
      <w:hyperlink w:anchor="P131">
        <w:r>
          <w:rPr>
            <w:color w:val="0000FF"/>
          </w:rPr>
          <w:t>абзаце седьмом пункта 24</w:t>
        </w:r>
      </w:hyperlink>
      <w:r>
        <w:t xml:space="preserve"> Методических указаний, определенный на одно присоединение, тыс. руб.;</w:t>
      </w:r>
    </w:p>
    <w:p w:rsidR="00D84B55" w:rsidRDefault="00D84B55">
      <w:pPr>
        <w:pStyle w:val="ConsPlusNormal"/>
        <w:spacing w:before="200"/>
        <w:ind w:firstLine="540"/>
        <w:jc w:val="both"/>
      </w:pPr>
      <w:r>
        <w:rPr>
          <w:noProof/>
          <w:position w:val="-1"/>
        </w:rPr>
        <w:drawing>
          <wp:inline distT="0" distB="0" distL="0" distR="0">
            <wp:extent cx="1524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стандартное отклонение, определяемое отдельно для С</w:t>
      </w:r>
      <w:proofErr w:type="gramStart"/>
      <w:r>
        <w:rPr>
          <w:vertAlign w:val="subscript"/>
        </w:rPr>
        <w:t>1</w:t>
      </w:r>
      <w:proofErr w:type="gramEnd"/>
      <w:r>
        <w:rPr>
          <w:vertAlign w:val="subscript"/>
        </w:rPr>
        <w:t>.1</w:t>
      </w:r>
      <w:r>
        <w:t>, С</w:t>
      </w:r>
      <w:r>
        <w:rPr>
          <w:vertAlign w:val="subscript"/>
        </w:rPr>
        <w:t>1.2.1</w:t>
      </w:r>
      <w:r>
        <w:t xml:space="preserve"> и С</w:t>
      </w:r>
      <w:r>
        <w:rPr>
          <w:vertAlign w:val="subscript"/>
        </w:rPr>
        <w:t>1.2.2</w:t>
      </w:r>
      <w:r>
        <w:t xml:space="preserve"> по формуле:</w:t>
      </w:r>
    </w:p>
    <w:p w:rsidR="00D84B55" w:rsidRDefault="00D84B55">
      <w:pPr>
        <w:pStyle w:val="ConsPlusNormal"/>
        <w:jc w:val="both"/>
      </w:pPr>
    </w:p>
    <w:p w:rsidR="00D84B55" w:rsidRDefault="00D84B55">
      <w:pPr>
        <w:pStyle w:val="ConsPlusNormal"/>
        <w:jc w:val="center"/>
      </w:pPr>
      <w:r>
        <w:rPr>
          <w:noProof/>
          <w:position w:val="-35"/>
        </w:rPr>
        <w:drawing>
          <wp:inline distT="0" distB="0" distL="0" distR="0">
            <wp:extent cx="1781175" cy="5810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81175" cy="581025"/>
                    </a:xfrm>
                    <a:prstGeom prst="rect">
                      <a:avLst/>
                    </a:prstGeom>
                    <a:noFill/>
                    <a:ln>
                      <a:noFill/>
                    </a:ln>
                  </pic:spPr>
                </pic:pic>
              </a:graphicData>
            </a:graphic>
          </wp:inline>
        </w:drawing>
      </w:r>
      <w:r>
        <w:t>, (11),</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proofErr w:type="gramStart"/>
      <w:r>
        <w:t>P</w:t>
      </w:r>
      <w:proofErr w:type="gramEnd"/>
      <w:r>
        <w:rPr>
          <w:vertAlign w:val="superscript"/>
        </w:rPr>
        <w:t>средн</w:t>
      </w:r>
      <w:r>
        <w:t xml:space="preserve"> - средняя арифметическая величина экономически обоснованных расходов территориальных сетевых организаций на осуществление соответственно мероприятия, предусмотренного </w:t>
      </w:r>
      <w:hyperlink w:anchor="P89">
        <w:r>
          <w:rPr>
            <w:color w:val="0000FF"/>
          </w:rPr>
          <w:t>подпунктом "а"</w:t>
        </w:r>
      </w:hyperlink>
      <w:r>
        <w:t xml:space="preserve"> или </w:t>
      </w:r>
      <w:hyperlink w:anchor="P91">
        <w:r>
          <w:rPr>
            <w:color w:val="0000FF"/>
          </w:rPr>
          <w:t>"в" пункта 16</w:t>
        </w:r>
      </w:hyperlink>
      <w:r>
        <w:t xml:space="preserve"> Методических указаний, определенная на одно присоединение в соответствии с настоящим пунктом, тыс. руб.;</w:t>
      </w:r>
    </w:p>
    <w:p w:rsidR="00D84B55" w:rsidRDefault="00D84B55">
      <w:pPr>
        <w:pStyle w:val="ConsPlusNormal"/>
        <w:spacing w:before="200"/>
        <w:ind w:firstLine="540"/>
        <w:jc w:val="both"/>
      </w:pPr>
      <w:proofErr w:type="gramStart"/>
      <w:r>
        <w:t>P</w:t>
      </w:r>
      <w:proofErr w:type="gramEnd"/>
      <w:r>
        <w:rPr>
          <w:vertAlign w:val="subscript"/>
        </w:rPr>
        <w:t>р</w:t>
      </w:r>
      <w:r>
        <w:t xml:space="preserve"> - экономически обоснованные расходы территориальной сетевой организации на осуществление соответственно мероприятия, предусмотренного </w:t>
      </w:r>
      <w:hyperlink w:anchor="P89">
        <w:r>
          <w:rPr>
            <w:color w:val="0000FF"/>
          </w:rPr>
          <w:t>подпунктом "а"</w:t>
        </w:r>
      </w:hyperlink>
      <w:r>
        <w:t xml:space="preserve"> или </w:t>
      </w:r>
      <w:hyperlink w:anchor="P91">
        <w:r>
          <w:rPr>
            <w:color w:val="0000FF"/>
          </w:rPr>
          <w:t>"в" пункта 16</w:t>
        </w:r>
      </w:hyperlink>
      <w:r>
        <w:t xml:space="preserve"> Методических указаний, определенные на одно присоединение в соответствии с настоящим пунктом, тыс. руб.;</w:t>
      </w:r>
    </w:p>
    <w:p w:rsidR="00D84B55" w:rsidRDefault="00D84B55">
      <w:pPr>
        <w:pStyle w:val="ConsPlusNormal"/>
        <w:spacing w:before="200"/>
        <w:ind w:firstLine="540"/>
        <w:jc w:val="both"/>
      </w:pPr>
      <w:r>
        <w:t>Q</w:t>
      </w:r>
      <w:r>
        <w:rPr>
          <w:vertAlign w:val="subscript"/>
        </w:rPr>
        <w:t>р</w:t>
      </w:r>
      <w:r>
        <w:t xml:space="preserve"> - количество технологических присоединений для С</w:t>
      </w:r>
      <w:proofErr w:type="gramStart"/>
      <w:r>
        <w:rPr>
          <w:vertAlign w:val="subscript"/>
        </w:rPr>
        <w:t>1</w:t>
      </w:r>
      <w:proofErr w:type="gramEnd"/>
      <w:r>
        <w:rPr>
          <w:vertAlign w:val="subscript"/>
        </w:rPr>
        <w:t>.1</w:t>
      </w:r>
      <w:r>
        <w:t xml:space="preserve">, количество технологических присоединений Заявителей, указанных в </w:t>
      </w:r>
      <w:hyperlink w:anchor="P130">
        <w:r>
          <w:rPr>
            <w:color w:val="0000FF"/>
          </w:rPr>
          <w:t>абзаце шестом пункта 24</w:t>
        </w:r>
      </w:hyperlink>
      <w:r>
        <w:t xml:space="preserve"> Методических указаний, для С</w:t>
      </w:r>
      <w:r>
        <w:rPr>
          <w:vertAlign w:val="subscript"/>
        </w:rPr>
        <w:t>1.2.1</w:t>
      </w:r>
      <w:r>
        <w:t xml:space="preserve">, количество технологических присоединений Заявителей, указанных в </w:t>
      </w:r>
      <w:hyperlink w:anchor="P131">
        <w:r>
          <w:rPr>
            <w:color w:val="0000FF"/>
          </w:rPr>
          <w:t>абзаце седьмом пункта 24</w:t>
        </w:r>
      </w:hyperlink>
      <w:r>
        <w:t xml:space="preserve"> Методических указаний, для С</w:t>
      </w:r>
      <w:r>
        <w:rPr>
          <w:vertAlign w:val="subscript"/>
        </w:rPr>
        <w:t>1.2.2</w:t>
      </w:r>
      <w:r>
        <w:t>, осуществленных территориальной сетевой организацией p, шт.</w:t>
      </w:r>
    </w:p>
    <w:p w:rsidR="00D84B55" w:rsidRDefault="00D84B55">
      <w:pPr>
        <w:pStyle w:val="ConsPlusNormal"/>
        <w:spacing w:before="200"/>
        <w:ind w:firstLine="540"/>
        <w:jc w:val="both"/>
      </w:pPr>
      <w:r>
        <w:t xml:space="preserve">По данным по территориальным сетевым организациям, включенным в выборку в соответствии с настоящим пунктом за каждый год (n-4; n-3; n-2), определяется среднее значение расходов на осуществление мероприятия, предусмотренного соответственно </w:t>
      </w:r>
      <w:hyperlink w:anchor="P89">
        <w:r>
          <w:rPr>
            <w:color w:val="0000FF"/>
          </w:rPr>
          <w:t>подпунктом "а"</w:t>
        </w:r>
      </w:hyperlink>
      <w:r>
        <w:t xml:space="preserve"> или </w:t>
      </w:r>
      <w:hyperlink w:anchor="P9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16</w:t>
        </w:r>
      </w:hyperlink>
      <w:r>
        <w:t xml:space="preserve"> Методических указаний, на одно присоединение по формуле:</w:t>
      </w:r>
    </w:p>
    <w:p w:rsidR="00D84B55" w:rsidRDefault="00D84B55">
      <w:pPr>
        <w:pStyle w:val="ConsPlusNormal"/>
        <w:jc w:val="both"/>
      </w:pPr>
    </w:p>
    <w:p w:rsidR="00D84B55" w:rsidRDefault="00D84B55">
      <w:pPr>
        <w:pStyle w:val="ConsPlusNormal"/>
        <w:jc w:val="center"/>
      </w:pPr>
      <w:r>
        <w:rPr>
          <w:noProof/>
          <w:position w:val="-32"/>
        </w:rPr>
        <w:drawing>
          <wp:inline distT="0" distB="0" distL="0" distR="0">
            <wp:extent cx="1562100" cy="5334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r>
        <w:t>, (12),</w:t>
      </w:r>
    </w:p>
    <w:p w:rsidR="00D84B55" w:rsidRDefault="00D84B55">
      <w:pPr>
        <w:pStyle w:val="ConsPlusNormal"/>
        <w:jc w:val="both"/>
      </w:pPr>
    </w:p>
    <w:p w:rsidR="00D84B55" w:rsidRDefault="00D84B55">
      <w:pPr>
        <w:pStyle w:val="ConsPlusNormal"/>
        <w:jc w:val="center"/>
      </w:pPr>
      <w:r>
        <w:rPr>
          <w:noProof/>
          <w:position w:val="-32"/>
        </w:rPr>
        <w:drawing>
          <wp:inline distT="0" distB="0" distL="0" distR="0">
            <wp:extent cx="1628775" cy="5334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28775" cy="533400"/>
                    </a:xfrm>
                    <a:prstGeom prst="rect">
                      <a:avLst/>
                    </a:prstGeom>
                    <a:noFill/>
                    <a:ln>
                      <a:noFill/>
                    </a:ln>
                  </pic:spPr>
                </pic:pic>
              </a:graphicData>
            </a:graphic>
          </wp:inline>
        </w:drawing>
      </w:r>
      <w:r>
        <w:t>, (13),</w:t>
      </w:r>
    </w:p>
    <w:p w:rsidR="00D84B55" w:rsidRDefault="00D84B55">
      <w:pPr>
        <w:pStyle w:val="ConsPlusNormal"/>
        <w:jc w:val="both"/>
      </w:pPr>
    </w:p>
    <w:p w:rsidR="00D84B55" w:rsidRDefault="00D84B55">
      <w:pPr>
        <w:pStyle w:val="ConsPlusNormal"/>
        <w:jc w:val="center"/>
      </w:pPr>
      <w:r>
        <w:rPr>
          <w:noProof/>
          <w:position w:val="-29"/>
        </w:rPr>
        <w:drawing>
          <wp:inline distT="0" distB="0" distL="0" distR="0">
            <wp:extent cx="1628775" cy="5048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28775" cy="504825"/>
                    </a:xfrm>
                    <a:prstGeom prst="rect">
                      <a:avLst/>
                    </a:prstGeom>
                    <a:noFill/>
                    <a:ln>
                      <a:noFill/>
                    </a:ln>
                  </pic:spPr>
                </pic:pic>
              </a:graphicData>
            </a:graphic>
          </wp:inline>
        </w:drawing>
      </w:r>
      <w:r>
        <w:t>, (14),</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r>
        <w:rPr>
          <w:noProof/>
          <w:position w:val="-8"/>
        </w:rPr>
        <w:drawing>
          <wp:inline distT="0" distB="0" distL="0" distR="0">
            <wp:extent cx="42862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89">
        <w:r>
          <w:rPr>
            <w:color w:val="0000FF"/>
          </w:rPr>
          <w:t>подпунктом "а" пункта 16</w:t>
        </w:r>
      </w:hyperlink>
      <w:r>
        <w:t xml:space="preserve"> Методических указаний, на одно присоединение, за год y, тыс. руб.;</w:t>
      </w:r>
    </w:p>
    <w:p w:rsidR="00D84B55" w:rsidRDefault="00D84B55">
      <w:pPr>
        <w:pStyle w:val="ConsPlusNormal"/>
        <w:spacing w:before="200"/>
        <w:ind w:firstLine="540"/>
        <w:jc w:val="both"/>
      </w:pPr>
      <w:r>
        <w:rPr>
          <w:noProof/>
          <w:position w:val="-10"/>
        </w:rPr>
        <w:drawing>
          <wp:inline distT="0" distB="0" distL="0" distR="0">
            <wp:extent cx="381000" cy="2571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t xml:space="preserve"> - величина экономически обоснованных расходов на осуществление мероприятия, предусмотренного </w:t>
      </w:r>
      <w:hyperlink w:anchor="P89">
        <w:r>
          <w:rPr>
            <w:color w:val="0000FF"/>
          </w:rPr>
          <w:t>подпунктом "а" пункта 16</w:t>
        </w:r>
      </w:hyperlink>
      <w:r>
        <w:t xml:space="preserve"> Методических указаний, на одно присоединение, p-й территориальной сетевой организации, включенной в выборку, определяемая в соответствии с настоящим пунктом, за год y, тыс. руб.;</w:t>
      </w:r>
    </w:p>
    <w:p w:rsidR="00D84B55" w:rsidRDefault="00D84B55">
      <w:pPr>
        <w:pStyle w:val="ConsPlusNormal"/>
        <w:spacing w:before="200"/>
        <w:ind w:firstLine="540"/>
        <w:jc w:val="both"/>
      </w:pPr>
      <w:r>
        <w:t>q</w:t>
      </w:r>
      <w:r>
        <w:rPr>
          <w:vertAlign w:val="superscript"/>
        </w:rPr>
        <w:t>t</w:t>
      </w:r>
      <w:r>
        <w:t xml:space="preserve"> - количество территориальных сетевых организаций, включенных в выборку, определяемую в порядке, предусмотренном настоящим пунктом, за соответствующий год;</w:t>
      </w:r>
    </w:p>
    <w:p w:rsidR="00D84B55" w:rsidRDefault="00D84B55">
      <w:pPr>
        <w:pStyle w:val="ConsPlusNormal"/>
        <w:spacing w:before="200"/>
        <w:ind w:firstLine="540"/>
        <w:jc w:val="both"/>
      </w:pPr>
      <w:r>
        <w:t>y - год, по данным за который проводится расчет, соответствующий году (n-4), (n-3) или (n-2), где n - планируемый год, на который осуществляется расчет стандартизированных тарифных ставок;</w:t>
      </w:r>
    </w:p>
    <w:p w:rsidR="00D84B55" w:rsidRDefault="00D84B55">
      <w:pPr>
        <w:pStyle w:val="ConsPlusNormal"/>
        <w:spacing w:before="200"/>
        <w:ind w:firstLine="540"/>
        <w:jc w:val="both"/>
      </w:pPr>
      <w:r>
        <w:rPr>
          <w:noProof/>
          <w:position w:val="-10"/>
        </w:rPr>
        <w:drawing>
          <wp:inline distT="0" distB="0" distL="0" distR="0">
            <wp:extent cx="219075" cy="2571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t xml:space="preserve"> - количество технологических присоединений для С</w:t>
      </w:r>
      <w:proofErr w:type="gramStart"/>
      <w:r>
        <w:rPr>
          <w:vertAlign w:val="subscript"/>
        </w:rPr>
        <w:t>1</w:t>
      </w:r>
      <w:proofErr w:type="gramEnd"/>
      <w:r>
        <w:rPr>
          <w:vertAlign w:val="subscript"/>
        </w:rPr>
        <w:t>.1</w:t>
      </w:r>
      <w:r>
        <w:t xml:space="preserve">, количество технологических присоединений Заявителей, указанных в </w:t>
      </w:r>
      <w:hyperlink w:anchor="P130">
        <w:r>
          <w:rPr>
            <w:color w:val="0000FF"/>
          </w:rPr>
          <w:t>абзаце шестом пункта 24</w:t>
        </w:r>
      </w:hyperlink>
      <w:r>
        <w:t xml:space="preserve"> Методических указаний, для С</w:t>
      </w:r>
      <w:r>
        <w:rPr>
          <w:vertAlign w:val="subscript"/>
        </w:rPr>
        <w:t>1.2.1</w:t>
      </w:r>
      <w:r>
        <w:t xml:space="preserve">, количество технологических присоединений Заявителей, указанных в </w:t>
      </w:r>
      <w:hyperlink w:anchor="P131">
        <w:r>
          <w:rPr>
            <w:color w:val="0000FF"/>
          </w:rPr>
          <w:t>абзаце седьмом пункта 24</w:t>
        </w:r>
      </w:hyperlink>
      <w:r>
        <w:t xml:space="preserve"> Методических указаний, для С</w:t>
      </w:r>
      <w:r>
        <w:rPr>
          <w:vertAlign w:val="subscript"/>
        </w:rPr>
        <w:t>1.2.2</w:t>
      </w:r>
      <w:r>
        <w:t>, осуществленных территориальной сетевой организацией p в году y, шт.;</w:t>
      </w:r>
    </w:p>
    <w:p w:rsidR="00D84B55" w:rsidRDefault="00D84B55">
      <w:pPr>
        <w:pStyle w:val="ConsPlusNormal"/>
        <w:spacing w:before="200"/>
        <w:ind w:firstLine="540"/>
        <w:jc w:val="both"/>
      </w:pPr>
      <w:r>
        <w:rPr>
          <w:noProof/>
          <w:position w:val="-8"/>
        </w:rPr>
        <w:drawing>
          <wp:inline distT="0" distB="0" distL="0" distR="0">
            <wp:extent cx="42862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9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30">
        <w:r>
          <w:rPr>
            <w:color w:val="0000FF"/>
          </w:rPr>
          <w:t>абзаце шестом пункта 24</w:t>
        </w:r>
      </w:hyperlink>
      <w:r>
        <w:t xml:space="preserve"> Методических указаний, за год y, тыс. руб.;</w:t>
      </w:r>
    </w:p>
    <w:p w:rsidR="00D84B55" w:rsidRDefault="00D84B55">
      <w:pPr>
        <w:pStyle w:val="ConsPlusNormal"/>
        <w:spacing w:before="200"/>
        <w:ind w:firstLine="540"/>
        <w:jc w:val="both"/>
      </w:pPr>
      <w:r>
        <w:rPr>
          <w:noProof/>
          <w:position w:val="-10"/>
        </w:rPr>
        <w:drawing>
          <wp:inline distT="0" distB="0" distL="0" distR="0">
            <wp:extent cx="447675" cy="2571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t xml:space="preserve"> - величина экономически обоснованных расходов на осуществление мероприятия, предусмотренного </w:t>
      </w:r>
      <w:hyperlink w:anchor="P9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30">
        <w:r>
          <w:rPr>
            <w:color w:val="0000FF"/>
          </w:rPr>
          <w:t>абзаце шестом пункта 24</w:t>
        </w:r>
      </w:hyperlink>
      <w:r>
        <w:t xml:space="preserve"> Методических указаний, p-й территориальной сетевой организации, включенной в выборку, определяемую в соответствии с настоящим пунктом, за год y, тыс. руб.;</w:t>
      </w:r>
    </w:p>
    <w:p w:rsidR="00D84B55" w:rsidRDefault="00D84B55">
      <w:pPr>
        <w:pStyle w:val="ConsPlusNormal"/>
        <w:spacing w:before="200"/>
        <w:ind w:firstLine="540"/>
        <w:jc w:val="both"/>
      </w:pPr>
      <w:r>
        <w:rPr>
          <w:noProof/>
          <w:position w:val="-8"/>
        </w:rPr>
        <w:drawing>
          <wp:inline distT="0" distB="0" distL="0" distR="0">
            <wp:extent cx="42862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осуществление мероприятий, предусмотренного </w:t>
      </w:r>
      <w:hyperlink w:anchor="P9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31">
        <w:r>
          <w:rPr>
            <w:color w:val="0000FF"/>
          </w:rPr>
          <w:t>абзаце седьмом пункта 24</w:t>
        </w:r>
      </w:hyperlink>
      <w:r>
        <w:t xml:space="preserve"> Методических указаний, за год y, тыс. руб.;</w:t>
      </w:r>
    </w:p>
    <w:p w:rsidR="00D84B55" w:rsidRDefault="00D84B55">
      <w:pPr>
        <w:pStyle w:val="ConsPlusNormal"/>
        <w:spacing w:before="200"/>
        <w:ind w:firstLine="540"/>
        <w:jc w:val="both"/>
      </w:pPr>
      <w:r>
        <w:rPr>
          <w:noProof/>
          <w:position w:val="-10"/>
        </w:rPr>
        <w:drawing>
          <wp:inline distT="0" distB="0" distL="0" distR="0">
            <wp:extent cx="447675" cy="2571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t xml:space="preserve"> - величина экономически обоснованных расходов на осуществление мероприятия, предусмотренного </w:t>
      </w:r>
      <w:hyperlink w:anchor="P9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31">
        <w:r>
          <w:rPr>
            <w:color w:val="0000FF"/>
          </w:rPr>
          <w:t>абзаце седьмом пункта 24</w:t>
        </w:r>
      </w:hyperlink>
      <w:r>
        <w:t xml:space="preserve"> Методических указаний, p-й территориальной сетевой организации, включенной в выборку, определяемую в соответствии с настоящим пунктом, за год y, тыс. руб.</w:t>
      </w:r>
    </w:p>
    <w:p w:rsidR="00D84B55" w:rsidRDefault="00D84B55">
      <w:pPr>
        <w:pStyle w:val="ConsPlusNormal"/>
        <w:spacing w:before="200"/>
        <w:ind w:firstLine="540"/>
        <w:jc w:val="both"/>
      </w:pPr>
      <w:r>
        <w:t>Расчет стандартизированных тарифных ставок выполняется по формулам:</w:t>
      </w:r>
    </w:p>
    <w:p w:rsidR="00D84B55" w:rsidRDefault="00D84B55">
      <w:pPr>
        <w:pStyle w:val="ConsPlusNormal"/>
        <w:jc w:val="both"/>
      </w:pPr>
    </w:p>
    <w:p w:rsidR="00D84B55" w:rsidRDefault="00D84B55">
      <w:pPr>
        <w:pStyle w:val="ConsPlusNormal"/>
        <w:jc w:val="center"/>
      </w:pPr>
      <w:r>
        <w:rPr>
          <w:noProof/>
          <w:position w:val="-38"/>
        </w:rPr>
        <w:drawing>
          <wp:inline distT="0" distB="0" distL="0" distR="0">
            <wp:extent cx="5057775" cy="609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057775" cy="609600"/>
                    </a:xfrm>
                    <a:prstGeom prst="rect">
                      <a:avLst/>
                    </a:prstGeom>
                    <a:noFill/>
                    <a:ln>
                      <a:noFill/>
                    </a:ln>
                  </pic:spPr>
                </pic:pic>
              </a:graphicData>
            </a:graphic>
          </wp:inline>
        </w:drawing>
      </w:r>
      <w:r>
        <w:t>, (15),</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r>
        <w:rPr>
          <w:noProof/>
          <w:position w:val="-10"/>
        </w:rPr>
        <w:drawing>
          <wp:inline distT="0" distB="0" distL="0" distR="0">
            <wp:extent cx="533400" cy="2571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t xml:space="preserve"> - фактический индекс потребительских цен за год (n-2), в процентах;</w:t>
      </w:r>
    </w:p>
    <w:p w:rsidR="00D84B55" w:rsidRDefault="00D84B55">
      <w:pPr>
        <w:pStyle w:val="ConsPlusNormal"/>
        <w:spacing w:before="200"/>
        <w:ind w:firstLine="540"/>
        <w:jc w:val="both"/>
      </w:pPr>
      <w:r>
        <w:rPr>
          <w:noProof/>
          <w:position w:val="-10"/>
        </w:rPr>
        <w:drawing>
          <wp:inline distT="0" distB="0" distL="0" distR="0">
            <wp:extent cx="533400" cy="2571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t xml:space="preserve"> - фактический индекс потребительских цен за год (n-3), в процентах;</w:t>
      </w:r>
    </w:p>
    <w:p w:rsidR="00D84B55" w:rsidRDefault="00D84B55">
      <w:pPr>
        <w:pStyle w:val="ConsPlusNormal"/>
        <w:spacing w:before="200"/>
        <w:ind w:firstLine="540"/>
        <w:jc w:val="both"/>
      </w:pPr>
      <w:r>
        <w:rPr>
          <w:noProof/>
          <w:position w:val="-8"/>
        </w:rPr>
        <w:drawing>
          <wp:inline distT="0" distB="0" distL="0" distR="0">
            <wp:extent cx="5238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 xml:space="preserve"> - индекс потребительских цен, предусмотренный одобренным Правительством Российской Федерации в соответствии со </w:t>
      </w:r>
      <w:hyperlink r:id="rId74">
        <w:r>
          <w:rPr>
            <w:color w:val="0000FF"/>
          </w:rPr>
          <w:t>статьей 26</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прогнозом социально-экономического развития Российской Федерации на год (n-1), в процентах;</w:t>
      </w:r>
    </w:p>
    <w:p w:rsidR="00D84B55" w:rsidRDefault="00D84B55">
      <w:pPr>
        <w:pStyle w:val="ConsPlusNormal"/>
        <w:spacing w:before="200"/>
        <w:ind w:firstLine="540"/>
        <w:jc w:val="both"/>
      </w:pPr>
      <w:r>
        <w:rPr>
          <w:noProof/>
          <w:position w:val="-8"/>
        </w:rPr>
        <w:drawing>
          <wp:inline distT="0" distB="0" distL="0" distR="0">
            <wp:extent cx="46672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t xml:space="preserve"> - индекс потребительских цен, предусмотренный одобренным Правительством Российской Федерации в соответствии со </w:t>
      </w:r>
      <w:hyperlink r:id="rId76">
        <w:r>
          <w:rPr>
            <w:color w:val="0000FF"/>
          </w:rPr>
          <w:t>статьей 26</w:t>
        </w:r>
      </w:hyperlink>
      <w:r>
        <w:t xml:space="preserve"> Федерального закона от 28 июня 2014 г. N 172-ФЗ "О стратегическом планировании в Российской Федерации" прогнозом социально-экономического развития Российской Федерации на год (n), в процентах;</w:t>
      </w:r>
    </w:p>
    <w:p w:rsidR="00D84B55" w:rsidRDefault="00D84B55">
      <w:pPr>
        <w:pStyle w:val="ConsPlusNormal"/>
        <w:spacing w:before="200"/>
        <w:ind w:firstLine="540"/>
        <w:jc w:val="both"/>
      </w:pPr>
      <w:r>
        <w:t>m - количество лет, за которые имеются данные;</w:t>
      </w:r>
    </w:p>
    <w:p w:rsidR="00D84B55" w:rsidRDefault="00D84B55">
      <w:pPr>
        <w:pStyle w:val="ConsPlusNormal"/>
        <w:jc w:val="both"/>
      </w:pPr>
    </w:p>
    <w:p w:rsidR="00D84B55" w:rsidRDefault="00D84B55">
      <w:pPr>
        <w:pStyle w:val="ConsPlusNormal"/>
        <w:jc w:val="center"/>
      </w:pPr>
      <w:r>
        <w:rPr>
          <w:noProof/>
          <w:position w:val="-38"/>
        </w:rPr>
        <w:drawing>
          <wp:inline distT="0" distB="0" distL="0" distR="0">
            <wp:extent cx="5114925" cy="609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14925" cy="609600"/>
                    </a:xfrm>
                    <a:prstGeom prst="rect">
                      <a:avLst/>
                    </a:prstGeom>
                    <a:noFill/>
                    <a:ln>
                      <a:noFill/>
                    </a:ln>
                  </pic:spPr>
                </pic:pic>
              </a:graphicData>
            </a:graphic>
          </wp:inline>
        </w:drawing>
      </w:r>
      <w:r>
        <w:t>, (16),</w:t>
      </w:r>
    </w:p>
    <w:p w:rsidR="00D84B55" w:rsidRDefault="00D84B55">
      <w:pPr>
        <w:pStyle w:val="ConsPlusNormal"/>
        <w:jc w:val="both"/>
      </w:pPr>
    </w:p>
    <w:p w:rsidR="00D84B55" w:rsidRDefault="00D84B55">
      <w:pPr>
        <w:pStyle w:val="ConsPlusNormal"/>
        <w:jc w:val="center"/>
      </w:pPr>
      <w:r>
        <w:rPr>
          <w:noProof/>
          <w:position w:val="-38"/>
        </w:rPr>
        <w:drawing>
          <wp:inline distT="0" distB="0" distL="0" distR="0">
            <wp:extent cx="5114925" cy="6096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14925" cy="609600"/>
                    </a:xfrm>
                    <a:prstGeom prst="rect">
                      <a:avLst/>
                    </a:prstGeom>
                    <a:noFill/>
                    <a:ln>
                      <a:noFill/>
                    </a:ln>
                  </pic:spPr>
                </pic:pic>
              </a:graphicData>
            </a:graphic>
          </wp:inline>
        </w:drawing>
      </w:r>
      <w:r>
        <w:t>, (17).</w:t>
      </w:r>
    </w:p>
    <w:p w:rsidR="00D84B55" w:rsidRDefault="00D84B55">
      <w:pPr>
        <w:pStyle w:val="ConsPlusNormal"/>
        <w:jc w:val="both"/>
      </w:pPr>
    </w:p>
    <w:p w:rsidR="00D84B55" w:rsidRDefault="00D84B55">
      <w:pPr>
        <w:pStyle w:val="ConsPlusNormal"/>
        <w:ind w:firstLine="540"/>
        <w:jc w:val="both"/>
      </w:pPr>
      <w:bookmarkStart w:id="17" w:name="P206"/>
      <w:bookmarkEnd w:id="17"/>
      <w:r>
        <w:t>26. Стандартизированная тарифная ставка С</w:t>
      </w:r>
      <w:proofErr w:type="gramStart"/>
      <w:r>
        <w:rPr>
          <w:vertAlign w:val="subscript"/>
        </w:rPr>
        <w:t>1</w:t>
      </w:r>
      <w:proofErr w:type="gramEnd"/>
      <w:r>
        <w:t>, используемая для расчета платы за технологическое присоединение к объектам ЕНЭС, утверждается итоговой суммой (руб. за одно присоединение), а также в разбивке по ставкам С</w:t>
      </w:r>
      <w:r>
        <w:rPr>
          <w:vertAlign w:val="subscript"/>
        </w:rPr>
        <w:t>1.1</w:t>
      </w:r>
      <w:r>
        <w:t xml:space="preserve"> и С</w:t>
      </w:r>
      <w:r>
        <w:rPr>
          <w:vertAlign w:val="subscript"/>
        </w:rPr>
        <w:t>1.2</w:t>
      </w:r>
      <w:r>
        <w:t xml:space="preserve"> с дифференциацией по следующим категориям заявителей:</w:t>
      </w:r>
    </w:p>
    <w:p w:rsidR="00D84B55" w:rsidRDefault="00D84B55">
      <w:pPr>
        <w:pStyle w:val="ConsPlusNormal"/>
        <w:spacing w:before="200"/>
        <w:ind w:firstLine="540"/>
        <w:jc w:val="both"/>
      </w:pPr>
      <w:r>
        <w:t>- заявители, осуществляющие технологическое присоединение объектов по производству электрической энергии, присоединяемая мощность которых превышает 5 МВт;</w:t>
      </w:r>
    </w:p>
    <w:p w:rsidR="00D84B55" w:rsidRDefault="00D84B55">
      <w:pPr>
        <w:pStyle w:val="ConsPlusNormal"/>
        <w:spacing w:before="200"/>
        <w:ind w:firstLine="540"/>
        <w:jc w:val="both"/>
      </w:pPr>
      <w:r>
        <w:t>- заявители, осуществляющие технологическое присоединение энергопринимающих устройств и объектов электроэнергетики, присоединяемая мощность которых не превышает 5 МВт;</w:t>
      </w:r>
    </w:p>
    <w:p w:rsidR="00D84B55" w:rsidRDefault="00D84B55">
      <w:pPr>
        <w:pStyle w:val="ConsPlusNormal"/>
        <w:spacing w:before="200"/>
        <w:ind w:firstLine="540"/>
        <w:jc w:val="both"/>
      </w:pPr>
      <w:r>
        <w:t>- заявители, осуществляющие технологическое присоединение энергопринимающих устройств, а также объектов электросетевого хозяйства, присоединяемая мощность которых превышает 5 МВт.</w:t>
      </w:r>
    </w:p>
    <w:p w:rsidR="00D84B55" w:rsidRDefault="00D84B55">
      <w:pPr>
        <w:pStyle w:val="ConsPlusNormal"/>
        <w:spacing w:before="200"/>
        <w:ind w:firstLine="540"/>
        <w:jc w:val="both"/>
      </w:pPr>
      <w:bookmarkStart w:id="18" w:name="P210"/>
      <w:bookmarkEnd w:id="18"/>
      <w:r>
        <w:t>27. Стандартизированная тарифная ставка С</w:t>
      </w:r>
      <w:r>
        <w:rPr>
          <w:vertAlign w:val="subscript"/>
        </w:rPr>
        <w:t>8</w:t>
      </w:r>
      <w:r>
        <w:t>, используемая для расчета платы за технологическое присоединение к объектам ЕНЭС, определяется в рублях за одну точку учета с дифференциацией по уровням напряжения и способу включения (прямое, полукосвенное и косвенное включение).</w:t>
      </w:r>
    </w:p>
    <w:p w:rsidR="00D84B55" w:rsidRDefault="00D84B55">
      <w:pPr>
        <w:pStyle w:val="ConsPlusNormal"/>
        <w:spacing w:before="200"/>
        <w:ind w:firstLine="540"/>
        <w:jc w:val="both"/>
      </w:pPr>
      <w:r>
        <w:t>28. Стандартизированные тарифные ставки С</w:t>
      </w:r>
      <w:proofErr w:type="gramStart"/>
      <w:r>
        <w:rPr>
          <w:vertAlign w:val="subscript"/>
        </w:rPr>
        <w:t>2</w:t>
      </w:r>
      <w:proofErr w:type="gramEnd"/>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С</w:t>
      </w:r>
      <w:r>
        <w:rPr>
          <w:vertAlign w:val="subscript"/>
        </w:rPr>
        <w:t>8</w:t>
      </w:r>
      <w:r>
        <w:t xml:space="preserve"> рассчитываются на основании сводной информации, представленной территориальными сетевыми организациями в соответствии с рекомендуемым образом, приведенным в </w:t>
      </w:r>
      <w:hyperlink w:anchor="P417">
        <w:r>
          <w:rPr>
            <w:color w:val="0000FF"/>
          </w:rPr>
          <w:t>приложении N 1</w:t>
        </w:r>
      </w:hyperlink>
      <w:r>
        <w:t xml:space="preserve"> к Методическим указаниям.</w:t>
      </w:r>
    </w:p>
    <w:p w:rsidR="00D84B55" w:rsidRDefault="00D84B55">
      <w:pPr>
        <w:pStyle w:val="ConsPlusNormal"/>
        <w:spacing w:before="200"/>
        <w:ind w:firstLine="540"/>
        <w:jc w:val="both"/>
      </w:pPr>
      <w:r>
        <w:t xml:space="preserve">Для формирования выборки для расчета стандартизированной тарифной ставки на год n, с использованием данных, представленных территориальными сетевыми организациями согласно рекомендуемому образцу, приведенному в </w:t>
      </w:r>
      <w:hyperlink w:anchor="P417">
        <w:r>
          <w:rPr>
            <w:color w:val="0000FF"/>
          </w:rPr>
          <w:t>приложении N 1</w:t>
        </w:r>
      </w:hyperlink>
      <w:r>
        <w:t xml:space="preserve"> к Методическим указаниям, определяются:</w:t>
      </w:r>
    </w:p>
    <w:p w:rsidR="00D84B55" w:rsidRDefault="00D84B55">
      <w:pPr>
        <w:pStyle w:val="ConsPlusNormal"/>
        <w:spacing w:before="200"/>
        <w:ind w:firstLine="540"/>
        <w:jc w:val="both"/>
      </w:pPr>
      <w:proofErr w:type="gramStart"/>
      <w:r>
        <w:t xml:space="preserve">расходы на строительство 1 км воздушной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0"/>
        </w:rPr>
        <w:drawing>
          <wp:inline distT="0" distB="0" distL="0" distR="0">
            <wp:extent cx="266700" cy="2571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t xml:space="preserve"> (тыс. руб./км);</w:t>
      </w:r>
      <w:proofErr w:type="gramEnd"/>
    </w:p>
    <w:p w:rsidR="00D84B55" w:rsidRDefault="00D84B55">
      <w:pPr>
        <w:pStyle w:val="ConsPlusNormal"/>
        <w:spacing w:before="200"/>
        <w:ind w:firstLine="540"/>
        <w:jc w:val="both"/>
      </w:pPr>
      <w:proofErr w:type="gramStart"/>
      <w:r>
        <w:t xml:space="preserve">расходы на строительство 1 км кабельной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0"/>
        </w:rPr>
        <w:drawing>
          <wp:inline distT="0" distB="0" distL="0" distR="0">
            <wp:extent cx="266700" cy="2571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t xml:space="preserve"> (тыс. руб./км);</w:t>
      </w:r>
      <w:proofErr w:type="gramEnd"/>
    </w:p>
    <w:p w:rsidR="00D84B55" w:rsidRDefault="00D84B55">
      <w:pPr>
        <w:pStyle w:val="ConsPlusNormal"/>
        <w:spacing w:before="200"/>
        <w:ind w:firstLine="540"/>
        <w:jc w:val="both"/>
      </w:pPr>
      <w:proofErr w:type="gramStart"/>
      <w:r>
        <w:t xml:space="preserve">расходы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0"/>
        </w:rPr>
        <w:drawing>
          <wp:inline distT="0" distB="0" distL="0" distR="0">
            <wp:extent cx="304800" cy="2571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xml:space="preserve"> (тыс. руб./шт.);</w:t>
      </w:r>
      <w:proofErr w:type="gramEnd"/>
    </w:p>
    <w:p w:rsidR="00D84B55" w:rsidRDefault="00D84B55">
      <w:pPr>
        <w:pStyle w:val="ConsPlusNormal"/>
        <w:spacing w:before="200"/>
        <w:ind w:firstLine="540"/>
        <w:jc w:val="both"/>
      </w:pPr>
      <w:proofErr w:type="gramStart"/>
      <w:r>
        <w:t xml:space="preserve">расходы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0"/>
        </w:rPr>
        <w:drawing>
          <wp:inline distT="0" distB="0" distL="0" distR="0">
            <wp:extent cx="266700" cy="2571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t xml:space="preserve"> (тыс. руб./кВт);</w:t>
      </w:r>
      <w:proofErr w:type="gramEnd"/>
    </w:p>
    <w:p w:rsidR="00D84B55" w:rsidRDefault="00D84B55">
      <w:pPr>
        <w:pStyle w:val="ConsPlusNormal"/>
        <w:spacing w:before="200"/>
        <w:ind w:firstLine="540"/>
        <w:jc w:val="both"/>
      </w:pPr>
      <w:proofErr w:type="gramStart"/>
      <w:r>
        <w:t xml:space="preserve">расходы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0"/>
        </w:rPr>
        <w:drawing>
          <wp:inline distT="0" distB="0" distL="0" distR="0">
            <wp:extent cx="314325" cy="2571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t xml:space="preserve"> (тыс. руб./кВт);</w:t>
      </w:r>
      <w:proofErr w:type="gramEnd"/>
    </w:p>
    <w:p w:rsidR="00D84B55" w:rsidRDefault="00D84B55">
      <w:pPr>
        <w:pStyle w:val="ConsPlusNormal"/>
        <w:spacing w:before="200"/>
        <w:ind w:firstLine="540"/>
        <w:jc w:val="both"/>
      </w:pPr>
      <w:proofErr w:type="gramStart"/>
      <w:r>
        <w:t xml:space="preserve">расходы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0"/>
        </w:rPr>
        <w:drawing>
          <wp:inline distT="0" distB="0" distL="0" distR="0">
            <wp:extent cx="266700" cy="2571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t xml:space="preserve"> (тыс. руб./кВт);</w:t>
      </w:r>
      <w:proofErr w:type="gramEnd"/>
    </w:p>
    <w:p w:rsidR="00D84B55" w:rsidRDefault="00D84B55">
      <w:pPr>
        <w:pStyle w:val="ConsPlusNormal"/>
        <w:spacing w:before="200"/>
        <w:ind w:firstLine="540"/>
        <w:jc w:val="both"/>
      </w:pPr>
      <w:proofErr w:type="gramStart"/>
      <w:r>
        <w:t xml:space="preserve">расходы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0"/>
        </w:rPr>
        <w:drawing>
          <wp:inline distT="0" distB="0" distL="0" distR="0">
            <wp:extent cx="266700" cy="2571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t xml:space="preserve"> (тыс. руб. на точку учета).</w:t>
      </w:r>
      <w:proofErr w:type="gramEnd"/>
    </w:p>
    <w:p w:rsidR="00D84B55" w:rsidRDefault="00D84B55">
      <w:pPr>
        <w:pStyle w:val="ConsPlusNormal"/>
        <w:spacing w:before="200"/>
        <w:ind w:firstLine="540"/>
        <w:jc w:val="both"/>
      </w:pPr>
      <w:proofErr w:type="gramStart"/>
      <w:r>
        <w:t>В формируемую для расчета стандартизированных тарифных ставок выборку за каждый год (n-4; n-3; n-2) включаются расходы территориальных сетевых организаций на строительство объектов электросетевого хозяйства, а также на обеспечение средствами коммерческого учета электрической энергии (мощности), значения которых не ниже предельного минимального уровня и не превышают предельный максимальный уровень таких расходов, определяемые по формулам:</w:t>
      </w:r>
      <w:proofErr w:type="gramEnd"/>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(18),</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(19),</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(20),</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(21),</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(22),</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(23),</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(24),</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(25),</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(26),</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(27),</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(28),</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(29),</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(30),</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438275" cy="2571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t>, (31),</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средняя арифметическая величина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средняя арифметическая величина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средняя арифметическая величина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roofErr w:type="gramEnd"/>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roofErr w:type="gramEnd"/>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roofErr w:type="gramEnd"/>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средняя арифметическая величина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w:t>
      </w:r>
      <w:proofErr w:type="gramEnd"/>
      <w:r>
        <w:t xml:space="preserve"> выполнения работ (t), тыс. руб./кВт;</w:t>
      </w:r>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w:t>
      </w:r>
      <w:proofErr w:type="gramEnd"/>
      <w:r>
        <w:t xml:space="preserve"> выполнения работ (t), тыс. руб./кВт;</w:t>
      </w:r>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w:t>
      </w:r>
      <w:proofErr w:type="gramEnd"/>
      <w:r>
        <w:t xml:space="preserve"> выполнения работ (t), тыс. руб./кВт;</w:t>
      </w:r>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средняя арифметическая величина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средняя арифметическая величина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 на точку учета;</w:t>
      </w:r>
      <w:proofErr w:type="gramEnd"/>
    </w:p>
    <w:p w:rsidR="00D84B55" w:rsidRDefault="00D84B55">
      <w:pPr>
        <w:pStyle w:val="ConsPlusNormal"/>
        <w:spacing w:before="200"/>
        <w:ind w:firstLine="540"/>
        <w:jc w:val="both"/>
      </w:pPr>
      <w:r>
        <w:rPr>
          <w:noProof/>
          <w:position w:val="-10"/>
        </w:rPr>
        <w:drawing>
          <wp:inline distT="0" distB="0" distL="0" distR="0">
            <wp:extent cx="409575" cy="2571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 на точку учета;</w:t>
      </w:r>
      <w:proofErr w:type="gramEnd"/>
    </w:p>
    <w:p w:rsidR="00D84B55" w:rsidRDefault="00D84B55">
      <w:pPr>
        <w:pStyle w:val="ConsPlusNormal"/>
        <w:spacing w:before="200"/>
        <w:ind w:firstLine="540"/>
        <w:jc w:val="both"/>
      </w:pPr>
      <w:r>
        <w:rPr>
          <w:noProof/>
          <w:position w:val="-1"/>
        </w:rPr>
        <w:drawing>
          <wp:inline distT="0" distB="0" distL="0" distR="0">
            <wp:extent cx="1524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стандартное отклонение, определяемое отдельно для С</w:t>
      </w:r>
      <w:proofErr w:type="gramStart"/>
      <w:r>
        <w:rPr>
          <w:vertAlign w:val="subscript"/>
        </w:rPr>
        <w:t>2</w:t>
      </w:r>
      <w:proofErr w:type="gramEnd"/>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xml:space="preserve"> и С</w:t>
      </w:r>
      <w:r>
        <w:rPr>
          <w:vertAlign w:val="subscript"/>
        </w:rPr>
        <w:t>8</w:t>
      </w:r>
      <w:r>
        <w:t xml:space="preserve"> по формуле:</w:t>
      </w:r>
    </w:p>
    <w:p w:rsidR="00D84B55" w:rsidRDefault="00D84B55">
      <w:pPr>
        <w:pStyle w:val="ConsPlusNormal"/>
        <w:jc w:val="both"/>
      </w:pPr>
    </w:p>
    <w:p w:rsidR="00D84B55" w:rsidRDefault="00D84B55">
      <w:pPr>
        <w:pStyle w:val="ConsPlusNormal"/>
        <w:jc w:val="center"/>
      </w:pPr>
      <w:r>
        <w:rPr>
          <w:noProof/>
          <w:position w:val="-34"/>
        </w:rPr>
        <w:drawing>
          <wp:inline distT="0" distB="0" distL="0" distR="0">
            <wp:extent cx="1590675" cy="5619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90675" cy="561975"/>
                    </a:xfrm>
                    <a:prstGeom prst="rect">
                      <a:avLst/>
                    </a:prstGeom>
                    <a:noFill/>
                    <a:ln>
                      <a:noFill/>
                    </a:ln>
                  </pic:spPr>
                </pic:pic>
              </a:graphicData>
            </a:graphic>
          </wp:inline>
        </w:drawing>
      </w:r>
      <w:r>
        <w:t>, (32),</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proofErr w:type="gramStart"/>
      <w:r>
        <w:t>P</w:t>
      </w:r>
      <w:proofErr w:type="gramEnd"/>
      <w:r>
        <w:rPr>
          <w:vertAlign w:val="superscript"/>
        </w:rPr>
        <w:t>средн</w:t>
      </w:r>
      <w:r>
        <w:t xml:space="preserve"> - средняя арифметическая величина экономически обоснованных расходов территориальных сетевых организаций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w:t>
      </w:r>
      <w:proofErr w:type="gramStart"/>
      <w:r>
        <w:t>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тыс. руб./км</w:t>
      </w:r>
      <w:proofErr w:type="gramEnd"/>
      <w:r>
        <w:t xml:space="preserve">, </w:t>
      </w:r>
      <w:proofErr w:type="gramStart"/>
      <w:r>
        <w:t>тыс. руб./шт., тыс. руб./кВт или тыс. руб. на точку учета;</w:t>
      </w:r>
      <w:proofErr w:type="gramEnd"/>
    </w:p>
    <w:p w:rsidR="00D84B55" w:rsidRDefault="00D84B55">
      <w:pPr>
        <w:pStyle w:val="ConsPlusNormal"/>
        <w:spacing w:before="200"/>
        <w:ind w:firstLine="540"/>
        <w:jc w:val="both"/>
      </w:pPr>
      <w:proofErr w:type="gramStart"/>
      <w:r>
        <w:t>P</w:t>
      </w:r>
      <w:proofErr w:type="gramEnd"/>
      <w:r>
        <w:rPr>
          <w:vertAlign w:val="subscript"/>
        </w:rPr>
        <w:t>р</w:t>
      </w:r>
      <w:r>
        <w:t xml:space="preserve"> - расходы (пообъектно) территориальной сетевой организации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w:t>
      </w:r>
      <w:proofErr w:type="gramStart"/>
      <w:r>
        <w:t>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тыс. руб./км, тыс. руб./шт., тыс</w:t>
      </w:r>
      <w:proofErr w:type="gramEnd"/>
      <w:r>
        <w:t>. руб./кВт или тыс. руб. на точку учета;</w:t>
      </w:r>
    </w:p>
    <w:p w:rsidR="00D84B55" w:rsidRDefault="00D84B55">
      <w:pPr>
        <w:pStyle w:val="ConsPlusNormal"/>
        <w:spacing w:before="200"/>
        <w:ind w:firstLine="540"/>
        <w:jc w:val="both"/>
      </w:pPr>
      <w:proofErr w:type="gramStart"/>
      <w:r>
        <w:t xml:space="preserve">q - количество исходных значений расходов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w:t>
      </w:r>
      <w:proofErr w:type="gramEnd"/>
      <w:r>
        <w:t xml:space="preserve"> (</w:t>
      </w:r>
      <w:proofErr w:type="gramStart"/>
      <w:r>
        <w:t>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w:t>
      </w:r>
      <w:proofErr w:type="gramEnd"/>
    </w:p>
    <w:p w:rsidR="00D84B55" w:rsidRDefault="00D84B55">
      <w:pPr>
        <w:pStyle w:val="ConsPlusNormal"/>
        <w:spacing w:before="200"/>
        <w:ind w:firstLine="540"/>
        <w:jc w:val="both"/>
      </w:pPr>
      <w:r>
        <w:t>По данным, включенным в выборку в соответствии с настоящим пунктом за каждый год (n-4; n-3; n-2), регулирующим органом определяется среднее арифметическое значение расходов на строительство объектов электросетевого хозяйства, а также расходов на обеспечение средствами коммерческого учета электрической энергии (мощности) по формулам:</w:t>
      </w:r>
    </w:p>
    <w:p w:rsidR="00D84B55" w:rsidRDefault="00D84B55">
      <w:pPr>
        <w:pStyle w:val="ConsPlusNormal"/>
        <w:jc w:val="both"/>
      </w:pPr>
    </w:p>
    <w:p w:rsidR="00D84B55" w:rsidRDefault="00D84B55">
      <w:pPr>
        <w:pStyle w:val="ConsPlusNormal"/>
        <w:jc w:val="center"/>
      </w:pPr>
      <w:r>
        <w:rPr>
          <w:noProof/>
          <w:position w:val="-26"/>
        </w:rPr>
        <w:drawing>
          <wp:inline distT="0" distB="0" distL="0" distR="0">
            <wp:extent cx="1409700" cy="4572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t>, (33),</w:t>
      </w:r>
    </w:p>
    <w:p w:rsidR="00D84B55" w:rsidRDefault="00D84B55">
      <w:pPr>
        <w:pStyle w:val="ConsPlusNormal"/>
        <w:jc w:val="both"/>
      </w:pPr>
    </w:p>
    <w:p w:rsidR="00D84B55" w:rsidRDefault="00D84B55">
      <w:pPr>
        <w:pStyle w:val="ConsPlusNormal"/>
        <w:jc w:val="center"/>
      </w:pPr>
      <w:r>
        <w:rPr>
          <w:noProof/>
          <w:position w:val="-26"/>
        </w:rPr>
        <w:drawing>
          <wp:inline distT="0" distB="0" distL="0" distR="0">
            <wp:extent cx="1409700" cy="4572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t>, (34),</w:t>
      </w:r>
    </w:p>
    <w:p w:rsidR="00D84B55" w:rsidRDefault="00D84B55">
      <w:pPr>
        <w:pStyle w:val="ConsPlusNormal"/>
        <w:jc w:val="both"/>
      </w:pPr>
    </w:p>
    <w:p w:rsidR="00D84B55" w:rsidRDefault="00D84B55">
      <w:pPr>
        <w:pStyle w:val="ConsPlusNormal"/>
        <w:jc w:val="center"/>
      </w:pPr>
      <w:r>
        <w:rPr>
          <w:noProof/>
          <w:position w:val="-26"/>
        </w:rPr>
        <w:drawing>
          <wp:inline distT="0" distB="0" distL="0" distR="0">
            <wp:extent cx="1409700" cy="4572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t>, (35),</w:t>
      </w:r>
    </w:p>
    <w:p w:rsidR="00D84B55" w:rsidRDefault="00D84B55">
      <w:pPr>
        <w:pStyle w:val="ConsPlusNormal"/>
        <w:jc w:val="both"/>
      </w:pPr>
    </w:p>
    <w:p w:rsidR="00D84B55" w:rsidRDefault="00D84B55">
      <w:pPr>
        <w:pStyle w:val="ConsPlusNormal"/>
        <w:jc w:val="center"/>
      </w:pPr>
      <w:r>
        <w:rPr>
          <w:noProof/>
          <w:position w:val="-26"/>
        </w:rPr>
        <w:drawing>
          <wp:inline distT="0" distB="0" distL="0" distR="0">
            <wp:extent cx="1409700" cy="4572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t>, (36),</w:t>
      </w:r>
    </w:p>
    <w:p w:rsidR="00D84B55" w:rsidRDefault="00D84B55">
      <w:pPr>
        <w:pStyle w:val="ConsPlusNormal"/>
        <w:jc w:val="both"/>
      </w:pPr>
    </w:p>
    <w:p w:rsidR="00D84B55" w:rsidRDefault="00D84B55">
      <w:pPr>
        <w:pStyle w:val="ConsPlusNormal"/>
        <w:jc w:val="center"/>
      </w:pPr>
      <w:r>
        <w:rPr>
          <w:noProof/>
          <w:position w:val="-26"/>
        </w:rPr>
        <w:drawing>
          <wp:inline distT="0" distB="0" distL="0" distR="0">
            <wp:extent cx="1409700" cy="4572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t>, (37),</w:t>
      </w:r>
    </w:p>
    <w:p w:rsidR="00D84B55" w:rsidRDefault="00D84B55">
      <w:pPr>
        <w:pStyle w:val="ConsPlusNormal"/>
        <w:jc w:val="both"/>
      </w:pPr>
    </w:p>
    <w:p w:rsidR="00D84B55" w:rsidRDefault="00D84B55">
      <w:pPr>
        <w:pStyle w:val="ConsPlusNormal"/>
        <w:jc w:val="center"/>
      </w:pPr>
      <w:r>
        <w:rPr>
          <w:noProof/>
          <w:position w:val="-26"/>
        </w:rPr>
        <w:drawing>
          <wp:inline distT="0" distB="0" distL="0" distR="0">
            <wp:extent cx="1409700" cy="4572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t>, (38),</w:t>
      </w:r>
    </w:p>
    <w:p w:rsidR="00D84B55" w:rsidRDefault="00D84B55">
      <w:pPr>
        <w:pStyle w:val="ConsPlusNormal"/>
        <w:jc w:val="both"/>
      </w:pPr>
    </w:p>
    <w:p w:rsidR="00D84B55" w:rsidRDefault="00D84B55">
      <w:pPr>
        <w:pStyle w:val="ConsPlusNormal"/>
        <w:jc w:val="center"/>
      </w:pPr>
      <w:r>
        <w:rPr>
          <w:noProof/>
          <w:position w:val="-26"/>
        </w:rPr>
        <w:drawing>
          <wp:inline distT="0" distB="0" distL="0" distR="0">
            <wp:extent cx="1409700" cy="4572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r>
        <w:t>, (39),</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r>
        <w:rPr>
          <w:noProof/>
          <w:position w:val="-10"/>
        </w:rPr>
        <w:drawing>
          <wp:inline distT="0" distB="0" distL="0" distR="0">
            <wp:extent cx="428625" cy="2571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строительство 1 км воздушной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руб./км;</w:t>
      </w:r>
      <w:proofErr w:type="gramEnd"/>
    </w:p>
    <w:p w:rsidR="00D84B55" w:rsidRDefault="00D84B55">
      <w:pPr>
        <w:pStyle w:val="ConsPlusNormal"/>
        <w:spacing w:before="200"/>
        <w:ind w:firstLine="540"/>
        <w:jc w:val="both"/>
      </w:pPr>
      <w:r>
        <w:rPr>
          <w:noProof/>
          <w:position w:val="-10"/>
        </w:rPr>
        <w:drawing>
          <wp:inline distT="0" distB="0" distL="0" distR="0">
            <wp:extent cx="485775" cy="2571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w:t>
      </w:r>
      <w:proofErr w:type="gramStart"/>
      <w:r>
        <w:t xml:space="preserve">- величина расходов на строительство 1 км воздушной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roofErr w:type="gramEnd"/>
    </w:p>
    <w:p w:rsidR="00D84B55" w:rsidRDefault="00D84B55">
      <w:pPr>
        <w:pStyle w:val="ConsPlusNormal"/>
        <w:spacing w:before="200"/>
        <w:ind w:firstLine="540"/>
        <w:jc w:val="both"/>
      </w:pPr>
      <w:proofErr w:type="gramStart"/>
      <w:r>
        <w:t xml:space="preserve">q' - количество значений величин расходов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w:t>
      </w:r>
      <w:proofErr w:type="gramEnd"/>
      <w:r>
        <w:t xml:space="preserve"> (</w:t>
      </w:r>
      <w:proofErr w:type="gramStart"/>
      <w:r>
        <w:t>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включенных в выборку, определяемую в порядке, предусмотренном настоящим</w:t>
      </w:r>
      <w:proofErr w:type="gramEnd"/>
      <w:r>
        <w:t xml:space="preserve"> пунктом, за соответствующий год (y);</w:t>
      </w:r>
    </w:p>
    <w:p w:rsidR="00D84B55" w:rsidRDefault="00D84B55">
      <w:pPr>
        <w:pStyle w:val="ConsPlusNormal"/>
        <w:spacing w:before="200"/>
        <w:ind w:firstLine="540"/>
        <w:jc w:val="both"/>
      </w:pPr>
      <w:r>
        <w:rPr>
          <w:noProof/>
          <w:position w:val="-10"/>
        </w:rPr>
        <w:drawing>
          <wp:inline distT="0" distB="0" distL="0" distR="0">
            <wp:extent cx="428625" cy="2571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строительство 1 км кабельной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руб./км;</w:t>
      </w:r>
      <w:proofErr w:type="gramEnd"/>
    </w:p>
    <w:p w:rsidR="00D84B55" w:rsidRDefault="00D84B55">
      <w:pPr>
        <w:pStyle w:val="ConsPlusNormal"/>
        <w:spacing w:before="200"/>
        <w:ind w:firstLine="540"/>
        <w:jc w:val="both"/>
      </w:pPr>
      <w:r>
        <w:rPr>
          <w:noProof/>
          <w:position w:val="-10"/>
        </w:rPr>
        <w:drawing>
          <wp:inline distT="0" distB="0" distL="0" distR="0">
            <wp:extent cx="485775" cy="2571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w:t>
      </w:r>
      <w:proofErr w:type="gramStart"/>
      <w:r>
        <w:t xml:space="preserve">- величина расходов на строительство 1 км кабельной линии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roofErr w:type="gramEnd"/>
    </w:p>
    <w:p w:rsidR="00D84B55" w:rsidRDefault="00D84B55">
      <w:pPr>
        <w:pStyle w:val="ConsPlusNormal"/>
        <w:spacing w:before="200"/>
        <w:ind w:firstLine="540"/>
        <w:jc w:val="both"/>
      </w:pPr>
      <w:r>
        <w:rPr>
          <w:noProof/>
          <w:position w:val="-10"/>
        </w:rPr>
        <w:drawing>
          <wp:inline distT="0" distB="0" distL="0" distR="0">
            <wp:extent cx="428625" cy="2571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w:t>
      </w:r>
      <w:proofErr w:type="gramEnd"/>
      <w:r>
        <w:t>, тыс. руб./шт.;</w:t>
      </w:r>
    </w:p>
    <w:p w:rsidR="00D84B55" w:rsidRDefault="00D84B55">
      <w:pPr>
        <w:pStyle w:val="ConsPlusNormal"/>
        <w:spacing w:before="200"/>
        <w:ind w:firstLine="540"/>
        <w:jc w:val="both"/>
      </w:pPr>
      <w:r>
        <w:rPr>
          <w:noProof/>
          <w:position w:val="-10"/>
        </w:rPr>
        <w:drawing>
          <wp:inline distT="0" distB="0" distL="0" distR="0">
            <wp:extent cx="485775" cy="2571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w:t>
      </w:r>
      <w:proofErr w:type="gramStart"/>
      <w:r>
        <w:t xml:space="preserve">- величина расходов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w:t>
      </w:r>
      <w:proofErr w:type="gramEnd"/>
      <w:r>
        <w:t>, тыс. руб./шт.;</w:t>
      </w:r>
    </w:p>
    <w:p w:rsidR="00D84B55" w:rsidRDefault="00D84B55">
      <w:pPr>
        <w:pStyle w:val="ConsPlusNormal"/>
        <w:spacing w:before="200"/>
        <w:ind w:firstLine="540"/>
        <w:jc w:val="both"/>
      </w:pPr>
      <w:r>
        <w:rPr>
          <w:noProof/>
          <w:position w:val="-10"/>
        </w:rPr>
        <w:drawing>
          <wp:inline distT="0" distB="0" distL="0" distR="0">
            <wp:extent cx="428625" cy="2571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w:t>
      </w:r>
      <w:proofErr w:type="gramEnd"/>
      <w:r>
        <w:t xml:space="preserve"> материала и (или) способа выполнения работ (t), за год y, тыс. руб./кВт;</w:t>
      </w:r>
    </w:p>
    <w:p w:rsidR="00D84B55" w:rsidRDefault="00D84B55">
      <w:pPr>
        <w:pStyle w:val="ConsPlusNormal"/>
        <w:spacing w:before="200"/>
        <w:ind w:firstLine="540"/>
        <w:jc w:val="both"/>
      </w:pPr>
      <w:r>
        <w:rPr>
          <w:noProof/>
          <w:position w:val="-10"/>
        </w:rPr>
        <w:drawing>
          <wp:inline distT="0" distB="0" distL="0" distR="0">
            <wp:extent cx="485775" cy="2571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w:t>
      </w:r>
      <w:proofErr w:type="gramStart"/>
      <w:r>
        <w:t xml:space="preserve">- величина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w:t>
      </w:r>
      <w:proofErr w:type="gramEnd"/>
      <w:r>
        <w:t xml:space="preserve"> выборку, определяемую в соответствии с настоящим пунктом, за год y, тыс. руб./кВт;</w:t>
      </w:r>
    </w:p>
    <w:p w:rsidR="00D84B55" w:rsidRDefault="00D84B55">
      <w:pPr>
        <w:pStyle w:val="ConsPlusNormal"/>
        <w:spacing w:before="200"/>
        <w:ind w:firstLine="540"/>
        <w:jc w:val="both"/>
      </w:pPr>
      <w:r>
        <w:rPr>
          <w:noProof/>
          <w:position w:val="-10"/>
        </w:rPr>
        <w:drawing>
          <wp:inline distT="0" distB="0" distL="0" distR="0">
            <wp:extent cx="428625" cy="2571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w:t>
      </w:r>
      <w:proofErr w:type="gramEnd"/>
      <w:r>
        <w:t xml:space="preserve"> работ (t), за год y, тыс. руб./кВт;</w:t>
      </w:r>
    </w:p>
    <w:p w:rsidR="00D84B55" w:rsidRDefault="00D84B55">
      <w:pPr>
        <w:pStyle w:val="ConsPlusNormal"/>
        <w:spacing w:before="200"/>
        <w:ind w:firstLine="540"/>
        <w:jc w:val="both"/>
      </w:pPr>
      <w:r>
        <w:rPr>
          <w:noProof/>
          <w:position w:val="-10"/>
        </w:rPr>
        <w:drawing>
          <wp:inline distT="0" distB="0" distL="0" distR="0">
            <wp:extent cx="485775" cy="2571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w:t>
      </w:r>
      <w:proofErr w:type="gramStart"/>
      <w:r>
        <w:t xml:space="preserve">- величина расходов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w:t>
      </w:r>
      <w:proofErr w:type="gramEnd"/>
      <w:r>
        <w:t xml:space="preserve"> настоящим пунктом, за год y, тыс. руб./кВт;</w:t>
      </w:r>
    </w:p>
    <w:p w:rsidR="00D84B55" w:rsidRDefault="00D84B55">
      <w:pPr>
        <w:pStyle w:val="ConsPlusNormal"/>
        <w:spacing w:before="200"/>
        <w:ind w:firstLine="540"/>
        <w:jc w:val="both"/>
      </w:pPr>
      <w:r>
        <w:rPr>
          <w:noProof/>
          <w:position w:val="-10"/>
        </w:rPr>
        <w:drawing>
          <wp:inline distT="0" distB="0" distL="0" distR="0">
            <wp:extent cx="428625" cy="2571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w:t>
      </w:r>
      <w:proofErr w:type="gramEnd"/>
      <w:r>
        <w:t xml:space="preserve"> работ (t), за год y, тыс. руб./кВт;</w:t>
      </w:r>
    </w:p>
    <w:p w:rsidR="00D84B55" w:rsidRDefault="00D84B55">
      <w:pPr>
        <w:pStyle w:val="ConsPlusNormal"/>
        <w:spacing w:before="200"/>
        <w:ind w:firstLine="540"/>
        <w:jc w:val="both"/>
      </w:pPr>
      <w:r>
        <w:rPr>
          <w:noProof/>
          <w:position w:val="-10"/>
        </w:rPr>
        <w:drawing>
          <wp:inline distT="0" distB="0" distL="0" distR="0">
            <wp:extent cx="485775" cy="2571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w:t>
      </w:r>
      <w:proofErr w:type="gramStart"/>
      <w:r>
        <w:t xml:space="preserve">- величина расходов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w:t>
      </w:r>
      <w:proofErr w:type="gramEnd"/>
      <w:r>
        <w:t xml:space="preserve"> настоящим пунктом, за год y, тыс. руб./кВт;</w:t>
      </w:r>
    </w:p>
    <w:p w:rsidR="00D84B55" w:rsidRDefault="00D84B55">
      <w:pPr>
        <w:pStyle w:val="ConsPlusNormal"/>
        <w:spacing w:before="200"/>
        <w:ind w:firstLine="540"/>
        <w:jc w:val="both"/>
      </w:pPr>
      <w:r>
        <w:rPr>
          <w:noProof/>
          <w:position w:val="-10"/>
        </w:rPr>
        <w:drawing>
          <wp:inline distT="0" distB="0" distL="0" distR="0">
            <wp:extent cx="428625" cy="2571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обеспечение средствами коммерческого учета электрической энергии (мощности) в расчете на 1 точку учета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w:t>
      </w:r>
      <w:proofErr w:type="gramEnd"/>
      <w:r>
        <w:t>, тыс. руб. на точку учета;</w:t>
      </w:r>
    </w:p>
    <w:p w:rsidR="00D84B55" w:rsidRDefault="00D84B55">
      <w:pPr>
        <w:pStyle w:val="ConsPlusNormal"/>
        <w:spacing w:before="200"/>
        <w:ind w:firstLine="540"/>
        <w:jc w:val="both"/>
      </w:pPr>
      <w:r>
        <w:rPr>
          <w:noProof/>
          <w:position w:val="-10"/>
        </w:rPr>
        <w:drawing>
          <wp:inline distT="0" distB="0" distL="0" distR="0">
            <wp:extent cx="485775" cy="2571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w:t>
      </w:r>
      <w:proofErr w:type="gramStart"/>
      <w:r>
        <w:t xml:space="preserve">- величина расходов на обеспечение средствами коммерческого учета электрической энергии (мощности) в расчете на 1 точку учета (с дифференциацией по уровням напряжения (s), а также в соответствии с определенной согласно </w:t>
      </w:r>
      <w:hyperlink w:anchor="P1013">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 на точку учета.</w:t>
      </w:r>
      <w:proofErr w:type="gramEnd"/>
    </w:p>
    <w:p w:rsidR="00D84B55" w:rsidRDefault="00D84B55">
      <w:pPr>
        <w:pStyle w:val="ConsPlusNormal"/>
        <w:spacing w:before="200"/>
        <w:ind w:firstLine="540"/>
        <w:jc w:val="both"/>
      </w:pPr>
      <w:r>
        <w:t>Расчет стандартизированных тарифных ставок выполняется по формулам:</w:t>
      </w:r>
    </w:p>
    <w:p w:rsidR="00D84B55" w:rsidRDefault="00D84B55">
      <w:pPr>
        <w:pStyle w:val="ConsPlusNormal"/>
        <w:jc w:val="both"/>
      </w:pPr>
    </w:p>
    <w:p w:rsidR="00D84B55" w:rsidRDefault="00D84B55">
      <w:pPr>
        <w:pStyle w:val="ConsPlusNormal"/>
        <w:jc w:val="center"/>
      </w:pPr>
      <w:r>
        <w:rPr>
          <w:noProof/>
          <w:position w:val="-38"/>
        </w:rPr>
        <w:drawing>
          <wp:inline distT="0" distB="0" distL="0" distR="0">
            <wp:extent cx="5172075" cy="6096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172075" cy="609600"/>
                    </a:xfrm>
                    <a:prstGeom prst="rect">
                      <a:avLst/>
                    </a:prstGeom>
                    <a:noFill/>
                    <a:ln>
                      <a:noFill/>
                    </a:ln>
                  </pic:spPr>
                </pic:pic>
              </a:graphicData>
            </a:graphic>
          </wp:inline>
        </w:drawing>
      </w:r>
      <w:r>
        <w:t>, (40),</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r>
        <w:rPr>
          <w:noProof/>
          <w:position w:val="-10"/>
        </w:rPr>
        <w:drawing>
          <wp:inline distT="0" distB="0" distL="0" distR="0">
            <wp:extent cx="533400" cy="2571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t xml:space="preserve"> - фактический индекс цен производителей по подразделу "Строительство" раздела "Капитальные вложения (инвестиции)" за год n-3, публикуемый в соответствии со вторым предложением </w:t>
      </w:r>
      <w:hyperlink r:id="rId145">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D84B55" w:rsidRDefault="00D84B55">
      <w:pPr>
        <w:pStyle w:val="ConsPlusNormal"/>
        <w:spacing w:before="200"/>
        <w:ind w:firstLine="540"/>
        <w:jc w:val="both"/>
      </w:pPr>
      <w:r>
        <w:rPr>
          <w:noProof/>
          <w:position w:val="-10"/>
        </w:rPr>
        <w:drawing>
          <wp:inline distT="0" distB="0" distL="0" distR="0">
            <wp:extent cx="533400" cy="2571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t xml:space="preserve"> - фактический индекс цен производителей по подразделу "Строительство" раздела "Капитальные вложения (инвестиции)" за год n-2, публикуемый в соответствии со вторым предложением </w:t>
      </w:r>
      <w:hyperlink r:id="rId147">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D84B55" w:rsidRDefault="00D84B55">
      <w:pPr>
        <w:pStyle w:val="ConsPlusNormal"/>
        <w:spacing w:before="200"/>
        <w:ind w:firstLine="540"/>
        <w:jc w:val="both"/>
      </w:pPr>
      <w:r>
        <w:rPr>
          <w:noProof/>
          <w:position w:val="-8"/>
        </w:rPr>
        <w:drawing>
          <wp:inline distT="0" distB="0" distL="0" distR="0">
            <wp:extent cx="523875" cy="23812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 xml:space="preserve"> - индекс цен производителей по подразделу "Строительство" раздела "Капитальные вложения (инвестиции)" на год n-1, публикуемый в соответствии со вторым предложением </w:t>
      </w:r>
      <w:hyperlink r:id="rId149">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D84B55" w:rsidRDefault="00D84B55">
      <w:pPr>
        <w:pStyle w:val="ConsPlusNormal"/>
        <w:spacing w:before="200"/>
        <w:ind w:firstLine="540"/>
        <w:jc w:val="both"/>
      </w:pPr>
      <w:r>
        <w:rPr>
          <w:noProof/>
          <w:position w:val="-8"/>
        </w:rPr>
        <w:drawing>
          <wp:inline distT="0" distB="0" distL="0" distR="0">
            <wp:extent cx="466725" cy="23812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t xml:space="preserve"> - индекс цен производителей по подразделу "Строительство" раздела "Капитальные вложения (инвестиции)" на год n, публикуемый в соответствии со вторым предложением </w:t>
      </w:r>
      <w:hyperlink r:id="rId151">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D84B55" w:rsidRDefault="00D84B55">
      <w:pPr>
        <w:pStyle w:val="ConsPlusNormal"/>
        <w:jc w:val="both"/>
      </w:pPr>
    </w:p>
    <w:p w:rsidR="00D84B55" w:rsidRDefault="00D84B55">
      <w:pPr>
        <w:pStyle w:val="ConsPlusNormal"/>
        <w:jc w:val="center"/>
      </w:pPr>
      <w:r>
        <w:rPr>
          <w:noProof/>
          <w:position w:val="-38"/>
        </w:rPr>
        <w:drawing>
          <wp:inline distT="0" distB="0" distL="0" distR="0">
            <wp:extent cx="5172075" cy="6096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172075" cy="609600"/>
                    </a:xfrm>
                    <a:prstGeom prst="rect">
                      <a:avLst/>
                    </a:prstGeom>
                    <a:noFill/>
                    <a:ln>
                      <a:noFill/>
                    </a:ln>
                  </pic:spPr>
                </pic:pic>
              </a:graphicData>
            </a:graphic>
          </wp:inline>
        </w:drawing>
      </w:r>
      <w:r>
        <w:t>, (41),</w:t>
      </w:r>
    </w:p>
    <w:p w:rsidR="00D84B55" w:rsidRDefault="00D84B55">
      <w:pPr>
        <w:pStyle w:val="ConsPlusNormal"/>
        <w:jc w:val="both"/>
      </w:pPr>
    </w:p>
    <w:p w:rsidR="00D84B55" w:rsidRDefault="00D84B55">
      <w:pPr>
        <w:pStyle w:val="ConsPlusNormal"/>
        <w:jc w:val="center"/>
      </w:pPr>
      <w:r>
        <w:rPr>
          <w:noProof/>
          <w:position w:val="-38"/>
        </w:rPr>
        <w:drawing>
          <wp:inline distT="0" distB="0" distL="0" distR="0">
            <wp:extent cx="5172075" cy="6096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172075" cy="609600"/>
                    </a:xfrm>
                    <a:prstGeom prst="rect">
                      <a:avLst/>
                    </a:prstGeom>
                    <a:noFill/>
                    <a:ln>
                      <a:noFill/>
                    </a:ln>
                  </pic:spPr>
                </pic:pic>
              </a:graphicData>
            </a:graphic>
          </wp:inline>
        </w:drawing>
      </w:r>
      <w:r>
        <w:t>, (42),</w:t>
      </w:r>
    </w:p>
    <w:p w:rsidR="00D84B55" w:rsidRDefault="00D84B55">
      <w:pPr>
        <w:pStyle w:val="ConsPlusNormal"/>
        <w:jc w:val="both"/>
      </w:pPr>
    </w:p>
    <w:p w:rsidR="00D84B55" w:rsidRDefault="00D84B55">
      <w:pPr>
        <w:pStyle w:val="ConsPlusNormal"/>
        <w:jc w:val="center"/>
      </w:pPr>
      <w:r>
        <w:rPr>
          <w:noProof/>
          <w:position w:val="-38"/>
        </w:rPr>
        <w:drawing>
          <wp:inline distT="0" distB="0" distL="0" distR="0">
            <wp:extent cx="5172075" cy="6096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172075" cy="609600"/>
                    </a:xfrm>
                    <a:prstGeom prst="rect">
                      <a:avLst/>
                    </a:prstGeom>
                    <a:noFill/>
                    <a:ln>
                      <a:noFill/>
                    </a:ln>
                  </pic:spPr>
                </pic:pic>
              </a:graphicData>
            </a:graphic>
          </wp:inline>
        </w:drawing>
      </w:r>
      <w:r>
        <w:t>, (43),</w:t>
      </w:r>
    </w:p>
    <w:p w:rsidR="00D84B55" w:rsidRDefault="00D84B55">
      <w:pPr>
        <w:pStyle w:val="ConsPlusNormal"/>
        <w:jc w:val="both"/>
      </w:pPr>
    </w:p>
    <w:p w:rsidR="00D84B55" w:rsidRDefault="00D84B55">
      <w:pPr>
        <w:pStyle w:val="ConsPlusNormal"/>
        <w:jc w:val="center"/>
      </w:pPr>
      <w:r>
        <w:rPr>
          <w:noProof/>
          <w:position w:val="-38"/>
        </w:rPr>
        <w:drawing>
          <wp:inline distT="0" distB="0" distL="0" distR="0">
            <wp:extent cx="5172075" cy="6096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72075" cy="609600"/>
                    </a:xfrm>
                    <a:prstGeom prst="rect">
                      <a:avLst/>
                    </a:prstGeom>
                    <a:noFill/>
                    <a:ln>
                      <a:noFill/>
                    </a:ln>
                  </pic:spPr>
                </pic:pic>
              </a:graphicData>
            </a:graphic>
          </wp:inline>
        </w:drawing>
      </w:r>
      <w:r>
        <w:t>, (44),</w:t>
      </w:r>
    </w:p>
    <w:p w:rsidR="00D84B55" w:rsidRDefault="00D84B55">
      <w:pPr>
        <w:pStyle w:val="ConsPlusNormal"/>
        <w:jc w:val="both"/>
      </w:pPr>
    </w:p>
    <w:p w:rsidR="00D84B55" w:rsidRDefault="00D84B55">
      <w:pPr>
        <w:pStyle w:val="ConsPlusNormal"/>
        <w:jc w:val="center"/>
      </w:pPr>
      <w:r>
        <w:rPr>
          <w:noProof/>
          <w:position w:val="-38"/>
        </w:rPr>
        <w:drawing>
          <wp:inline distT="0" distB="0" distL="0" distR="0">
            <wp:extent cx="5172075" cy="60960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172075" cy="609600"/>
                    </a:xfrm>
                    <a:prstGeom prst="rect">
                      <a:avLst/>
                    </a:prstGeom>
                    <a:noFill/>
                    <a:ln>
                      <a:noFill/>
                    </a:ln>
                  </pic:spPr>
                </pic:pic>
              </a:graphicData>
            </a:graphic>
          </wp:inline>
        </w:drawing>
      </w:r>
      <w:r>
        <w:t>, (45),</w:t>
      </w:r>
    </w:p>
    <w:p w:rsidR="00D84B55" w:rsidRDefault="00D84B55">
      <w:pPr>
        <w:pStyle w:val="ConsPlusNormal"/>
        <w:jc w:val="both"/>
      </w:pPr>
    </w:p>
    <w:p w:rsidR="00D84B55" w:rsidRDefault="00D84B55">
      <w:pPr>
        <w:pStyle w:val="ConsPlusNormal"/>
        <w:jc w:val="center"/>
      </w:pPr>
      <w:r>
        <w:rPr>
          <w:noProof/>
          <w:position w:val="-38"/>
        </w:rPr>
        <w:drawing>
          <wp:inline distT="0" distB="0" distL="0" distR="0">
            <wp:extent cx="5172075" cy="60960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172075" cy="609600"/>
                    </a:xfrm>
                    <a:prstGeom prst="rect">
                      <a:avLst/>
                    </a:prstGeom>
                    <a:noFill/>
                    <a:ln>
                      <a:noFill/>
                    </a:ln>
                  </pic:spPr>
                </pic:pic>
              </a:graphicData>
            </a:graphic>
          </wp:inline>
        </w:drawing>
      </w:r>
      <w:r>
        <w:t>, (46).</w:t>
      </w:r>
    </w:p>
    <w:p w:rsidR="00D84B55" w:rsidRDefault="00D84B55">
      <w:pPr>
        <w:pStyle w:val="ConsPlusNormal"/>
        <w:jc w:val="both"/>
      </w:pPr>
    </w:p>
    <w:p w:rsidR="00D84B55" w:rsidRDefault="00D84B55">
      <w:pPr>
        <w:pStyle w:val="ConsPlusNormal"/>
        <w:ind w:firstLine="540"/>
        <w:jc w:val="both"/>
      </w:pPr>
      <w:r>
        <w:t xml:space="preserve">29. Для Заявителей, указанных в </w:t>
      </w:r>
      <w:hyperlink w:anchor="P78">
        <w:r>
          <w:rPr>
            <w:color w:val="0000FF"/>
          </w:rPr>
          <w:t>пункте 12</w:t>
        </w:r>
      </w:hyperlink>
      <w:r>
        <w:t xml:space="preserve"> Методических указаний, стандартизированные тарифные ставки </w:t>
      </w:r>
      <w:r>
        <w:rPr>
          <w:noProof/>
          <w:position w:val="-10"/>
        </w:rPr>
        <w:drawing>
          <wp:inline distT="0" distB="0" distL="0" distR="0">
            <wp:extent cx="838200" cy="2571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t xml:space="preserve">, </w:t>
      </w:r>
      <w:r>
        <w:rPr>
          <w:noProof/>
          <w:position w:val="-10"/>
        </w:rPr>
        <w:drawing>
          <wp:inline distT="0" distB="0" distL="0" distR="0">
            <wp:extent cx="838200" cy="2571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t xml:space="preserve">, </w:t>
      </w:r>
      <w:r>
        <w:rPr>
          <w:noProof/>
          <w:position w:val="-10"/>
        </w:rPr>
        <w:drawing>
          <wp:inline distT="0" distB="0" distL="0" distR="0">
            <wp:extent cx="838200" cy="2571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t xml:space="preserve">, </w:t>
      </w:r>
      <w:r>
        <w:rPr>
          <w:noProof/>
          <w:position w:val="-10"/>
        </w:rPr>
        <w:drawing>
          <wp:inline distT="0" distB="0" distL="0" distR="0">
            <wp:extent cx="838200" cy="2571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t xml:space="preserve">, </w:t>
      </w:r>
      <w:r>
        <w:rPr>
          <w:noProof/>
          <w:position w:val="-10"/>
        </w:rPr>
        <w:drawing>
          <wp:inline distT="0" distB="0" distL="0" distR="0">
            <wp:extent cx="838200" cy="2571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t xml:space="preserve">, </w:t>
      </w:r>
      <w:r>
        <w:rPr>
          <w:noProof/>
          <w:position w:val="-10"/>
        </w:rPr>
        <w:drawing>
          <wp:inline distT="0" distB="0" distL="0" distR="0">
            <wp:extent cx="838200" cy="2571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t xml:space="preserve"> рассчитываются по следующим формулам:</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076325" cy="2571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t>, (47),</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076325" cy="2571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t>, (48),</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076325" cy="2571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t>, (49),</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076325" cy="2571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t>, (50),</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076325" cy="2571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t>, (51),</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076325" cy="2571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t>, (52).</w:t>
      </w:r>
    </w:p>
    <w:p w:rsidR="00D84B55" w:rsidRDefault="00D84B55">
      <w:pPr>
        <w:pStyle w:val="ConsPlusNormal"/>
        <w:jc w:val="both"/>
      </w:pPr>
    </w:p>
    <w:p w:rsidR="00D84B55" w:rsidRDefault="00D84B55">
      <w:pPr>
        <w:pStyle w:val="ConsPlusNormal"/>
        <w:ind w:firstLine="540"/>
        <w:jc w:val="both"/>
      </w:pPr>
      <w:r>
        <w:t xml:space="preserve">30. Для Заявителей, максимальная мощность присоединяемых энергопринимающих устройств которых составляет не более чем 150 кВт, включая Заявителей, указанных в </w:t>
      </w:r>
      <w:hyperlink w:anchor="P76">
        <w:r>
          <w:rPr>
            <w:color w:val="0000FF"/>
          </w:rPr>
          <w:t>пунктах 10</w:t>
        </w:r>
      </w:hyperlink>
      <w:r>
        <w:t xml:space="preserve"> и </w:t>
      </w:r>
      <w:hyperlink w:anchor="P77">
        <w:r>
          <w:rPr>
            <w:color w:val="0000FF"/>
          </w:rPr>
          <w:t>11</w:t>
        </w:r>
      </w:hyperlink>
      <w:r>
        <w:t xml:space="preserve"> Методических указаний, за исключением Заявителей, указанных в </w:t>
      </w:r>
      <w:hyperlink w:anchor="P78">
        <w:r>
          <w:rPr>
            <w:color w:val="0000FF"/>
          </w:rPr>
          <w:t>пункте 12</w:t>
        </w:r>
      </w:hyperlink>
      <w:r>
        <w:t xml:space="preserve"> Методических указаний, стандартизированные тарифные ставки </w:t>
      </w:r>
      <w:r>
        <w:rPr>
          <w:noProof/>
          <w:position w:val="-10"/>
        </w:rPr>
        <w:drawing>
          <wp:inline distT="0" distB="0" distL="0" distR="0">
            <wp:extent cx="495300" cy="2571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t xml:space="preserve">, </w:t>
      </w:r>
      <w:r>
        <w:rPr>
          <w:noProof/>
          <w:position w:val="-10"/>
        </w:rPr>
        <w:drawing>
          <wp:inline distT="0" distB="0" distL="0" distR="0">
            <wp:extent cx="495300" cy="2571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t xml:space="preserve">, </w:t>
      </w:r>
      <w:r>
        <w:rPr>
          <w:noProof/>
          <w:position w:val="-10"/>
        </w:rPr>
        <w:drawing>
          <wp:inline distT="0" distB="0" distL="0" distR="0">
            <wp:extent cx="495300" cy="2571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t xml:space="preserve">, </w:t>
      </w:r>
      <w:r>
        <w:rPr>
          <w:noProof/>
          <w:position w:val="-10"/>
        </w:rPr>
        <w:drawing>
          <wp:inline distT="0" distB="0" distL="0" distR="0">
            <wp:extent cx="495300" cy="2571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t xml:space="preserve">, </w:t>
      </w:r>
      <w:r>
        <w:rPr>
          <w:noProof/>
          <w:position w:val="-10"/>
        </w:rPr>
        <w:drawing>
          <wp:inline distT="0" distB="0" distL="0" distR="0">
            <wp:extent cx="495300" cy="2571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t xml:space="preserve">, </w:t>
      </w:r>
      <w:r>
        <w:rPr>
          <w:noProof/>
          <w:position w:val="-10"/>
        </w:rPr>
        <w:drawing>
          <wp:inline distT="0" distB="0" distL="0" distR="0">
            <wp:extent cx="495300" cy="2571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t>, устанавливаемые на период до 31 декабря 2022 г., рассчитываются по следующим формулам:</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257300" cy="2571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t>, (53),</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247775" cy="2571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inline>
        </w:drawing>
      </w:r>
      <w:r>
        <w:t>, (54),</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257300" cy="2571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t>, (55),</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247775" cy="2571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inline>
        </w:drawing>
      </w:r>
      <w:r>
        <w:t>, (56),</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257300" cy="2571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t>, (57),</w:t>
      </w:r>
    </w:p>
    <w:p w:rsidR="00D84B55" w:rsidRDefault="00D84B55">
      <w:pPr>
        <w:pStyle w:val="ConsPlusNormal"/>
        <w:jc w:val="both"/>
      </w:pPr>
    </w:p>
    <w:p w:rsidR="00D84B55" w:rsidRDefault="00D84B55">
      <w:pPr>
        <w:pStyle w:val="ConsPlusNormal"/>
        <w:jc w:val="center"/>
      </w:pPr>
      <w:r>
        <w:rPr>
          <w:noProof/>
          <w:position w:val="-10"/>
        </w:rPr>
        <w:drawing>
          <wp:inline distT="0" distB="0" distL="0" distR="0">
            <wp:extent cx="1257300" cy="2571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t>, (58).</w:t>
      </w:r>
    </w:p>
    <w:p w:rsidR="00D84B55" w:rsidRDefault="00D84B55">
      <w:pPr>
        <w:pStyle w:val="ConsPlusNormal"/>
        <w:jc w:val="both"/>
      </w:pPr>
    </w:p>
    <w:p w:rsidR="00D84B55" w:rsidRDefault="00D84B55">
      <w:pPr>
        <w:pStyle w:val="ConsPlusNormal"/>
        <w:ind w:firstLine="540"/>
        <w:jc w:val="both"/>
      </w:pPr>
      <w:r>
        <w:t>31. При расчете платы за технологическое присоединение с применением стандартизированных тарифных ставок используются расчетные показатели в соответствии с техническими условиями, выданными Заявителю.</w:t>
      </w:r>
    </w:p>
    <w:p w:rsidR="00D84B55" w:rsidRDefault="00D84B55">
      <w:pPr>
        <w:pStyle w:val="ConsPlusNormal"/>
        <w:spacing w:before="200"/>
        <w:ind w:firstLine="540"/>
        <w:jc w:val="both"/>
      </w:pPr>
      <w:r>
        <w:t xml:space="preserve">32. Плата за технологическое присоединение в виде формулы определяется с применением стандартизированных тарифных ставок исходя из способа технологического присоединения к электрическим сетям сетевой организации и реализации соответствующих мероприятий, предусмотренных </w:t>
      </w:r>
      <w:hyperlink w:anchor="P90">
        <w:r>
          <w:rPr>
            <w:color w:val="0000FF"/>
          </w:rPr>
          <w:t>подпунктом "б" пункта 16</w:t>
        </w:r>
      </w:hyperlink>
      <w:r>
        <w:t xml:space="preserve"> Методических указаний, следующим образом:</w:t>
      </w:r>
    </w:p>
    <w:p w:rsidR="00D84B55" w:rsidRDefault="00D84B55">
      <w:pPr>
        <w:pStyle w:val="ConsPlusNormal"/>
        <w:spacing w:before="200"/>
        <w:ind w:firstLine="540"/>
        <w:jc w:val="both"/>
      </w:pPr>
      <w:bookmarkStart w:id="19" w:name="P363"/>
      <w:bookmarkEnd w:id="19"/>
      <w:r>
        <w:t xml:space="preserve">а) если отсутствует необходимость реализации мероприятий "последней мили", то формула платы определяется как сумма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88">
        <w:r>
          <w:rPr>
            <w:color w:val="0000FF"/>
          </w:rPr>
          <w:t>пункте 16</w:t>
        </w:r>
      </w:hyperlink>
      <w:r>
        <w:t xml:space="preserve"> Методических указаний (кроме </w:t>
      </w:r>
      <w:hyperlink w:anchor="P90">
        <w:r>
          <w:rPr>
            <w:color w:val="0000FF"/>
          </w:rPr>
          <w:t>подпункта "б"</w:t>
        </w:r>
      </w:hyperlink>
      <w:r>
        <w:t>), С</w:t>
      </w:r>
      <w:proofErr w:type="gramStart"/>
      <w:r>
        <w:rPr>
          <w:vertAlign w:val="subscript"/>
        </w:rPr>
        <w:t>1</w:t>
      </w:r>
      <w:proofErr w:type="gramEnd"/>
      <w:r>
        <w:t>, 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 С</w:t>
      </w:r>
      <w:r>
        <w:rPr>
          <w:vertAlign w:val="subscript"/>
        </w:rPr>
        <w:t>8</w:t>
      </w:r>
      <w:r>
        <w:t>;</w:t>
      </w:r>
    </w:p>
    <w:p w:rsidR="00D84B55" w:rsidRDefault="00D84B55">
      <w:pPr>
        <w:pStyle w:val="ConsPlusNormal"/>
        <w:spacing w:before="200"/>
        <w:ind w:firstLine="540"/>
        <w:jc w:val="both"/>
      </w:pPr>
      <w:bookmarkStart w:id="20" w:name="P364"/>
      <w:bookmarkEnd w:id="20"/>
      <w:r>
        <w:t xml:space="preserve">б) если при технологическом присоединении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расходов, определенных в соответствии с </w:t>
      </w:r>
      <w:hyperlink w:anchor="P363">
        <w:r>
          <w:rPr>
            <w:color w:val="0000FF"/>
          </w:rPr>
          <w:t>подпунктом "а"</w:t>
        </w:r>
      </w:hyperlink>
      <w:r>
        <w:t xml:space="preserve"> настоящего пункта, и произведения стандартизированной тарифной ставки на покрытие расходов сетевой организации на строительство воздушных (С</w:t>
      </w:r>
      <w:proofErr w:type="gramStart"/>
      <w:r>
        <w:rPr>
          <w:vertAlign w:val="subscript"/>
        </w:rPr>
        <w:t>2</w:t>
      </w:r>
      <w:proofErr w:type="gramEnd"/>
      <w:r>
        <w:t>) и (или) кабельных (С</w:t>
      </w:r>
      <w:r>
        <w:rPr>
          <w:vertAlign w:val="subscript"/>
        </w:rPr>
        <w:t>3</w:t>
      </w:r>
      <w:r>
        <w:t>) линий электропередачи на i-том уровне напряжения и суммарной протяженности воздушных и (или) кабельных линий (L</w:t>
      </w:r>
      <w:r>
        <w:rPr>
          <w:vertAlign w:val="subscript"/>
        </w:rPr>
        <w:t>i</w:t>
      </w:r>
      <w:r>
        <w:t>), строительство которых предусмотрено согласно выданным техническим условиям для технологического присоединения Заявителя;</w:t>
      </w:r>
    </w:p>
    <w:p w:rsidR="00D84B55" w:rsidRDefault="00D84B55">
      <w:pPr>
        <w:pStyle w:val="ConsPlusNormal"/>
        <w:spacing w:before="200"/>
        <w:ind w:firstLine="540"/>
        <w:jc w:val="both"/>
      </w:pPr>
      <w:proofErr w:type="gramStart"/>
      <w:r>
        <w:t>в) если при технологическом присоединении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с уровнем напряжения до 35 кВ и на строительство центров питания, подстанций уровнем напряжения 35 кВ и выше (ПС), то формула платы определяется как сумма расходов, определенных в соответствии с</w:t>
      </w:r>
      <w:proofErr w:type="gramEnd"/>
      <w:r>
        <w:t xml:space="preserve"> </w:t>
      </w:r>
      <w:hyperlink w:anchor="P364">
        <w:r>
          <w:rPr>
            <w:color w:val="0000FF"/>
          </w:rPr>
          <w:t>подпунктом "б"</w:t>
        </w:r>
      </w:hyperlink>
      <w:r>
        <w:t xml:space="preserve"> настоящего пункта, произведения ставки С</w:t>
      </w:r>
      <w:proofErr w:type="gramStart"/>
      <w:r>
        <w:rPr>
          <w:vertAlign w:val="subscript"/>
        </w:rPr>
        <w:t>4</w:t>
      </w:r>
      <w:proofErr w:type="gramEnd"/>
      <w:r>
        <w:t xml:space="preserve"> и количества пунктов секционирования, и произведения ставок С</w:t>
      </w:r>
      <w:r>
        <w:rPr>
          <w:vertAlign w:val="subscript"/>
        </w:rPr>
        <w:t>5</w:t>
      </w:r>
      <w:r>
        <w:t>, С</w:t>
      </w:r>
      <w:r>
        <w:rPr>
          <w:vertAlign w:val="subscript"/>
        </w:rPr>
        <w:t>6</w:t>
      </w:r>
      <w:r>
        <w:t>, С</w:t>
      </w:r>
      <w:r>
        <w:rPr>
          <w:vertAlign w:val="subscript"/>
        </w:rPr>
        <w:t>7</w:t>
      </w:r>
      <w:r>
        <w:t xml:space="preserve"> и объема максимальной мощности присоединяемых Устройств (N</w:t>
      </w:r>
      <w:r>
        <w:rPr>
          <w:vertAlign w:val="subscript"/>
        </w:rPr>
        <w:t>i</w:t>
      </w:r>
      <w:r>
        <w:t>), указанного Заявителем в заявке на технологическое присоединение;</w:t>
      </w:r>
    </w:p>
    <w:p w:rsidR="00D84B55" w:rsidRDefault="00D84B55">
      <w:pPr>
        <w:pStyle w:val="ConsPlusNormal"/>
        <w:spacing w:before="200"/>
        <w:ind w:firstLine="540"/>
        <w:jc w:val="both"/>
      </w:pPr>
      <w:r>
        <w:t>г)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rsidR="00D84B55" w:rsidRDefault="00D84B55">
      <w:pPr>
        <w:pStyle w:val="ConsPlusNormal"/>
        <w:spacing w:before="200"/>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D84B55" w:rsidRDefault="00D84B55">
      <w:pPr>
        <w:pStyle w:val="ConsPlusNormal"/>
        <w:spacing w:before="200"/>
        <w:ind w:firstLine="540"/>
        <w:jc w:val="both"/>
      </w:pPr>
      <w:r>
        <w:t xml:space="preserve">- 50%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на год, следующий за годом утверждения платы, публикуемый в соответствии со вторым предложением </w:t>
      </w:r>
      <w:hyperlink r:id="rId182">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w:t>
      </w:r>
    </w:p>
    <w:p w:rsidR="00D84B55" w:rsidRDefault="00D84B55">
      <w:pPr>
        <w:pStyle w:val="ConsPlusNormal"/>
        <w:spacing w:before="200"/>
        <w:ind w:firstLine="540"/>
        <w:jc w:val="both"/>
      </w:pPr>
      <w:r>
        <w:t>д) 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rsidR="00D84B55" w:rsidRDefault="00D84B55">
      <w:pPr>
        <w:pStyle w:val="ConsPlusNormal"/>
        <w:spacing w:before="200"/>
        <w:ind w:firstLine="540"/>
        <w:jc w:val="both"/>
      </w:pPr>
      <w:proofErr w:type="gramStart"/>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вторым предложением </w:t>
      </w:r>
      <w:hyperlink r:id="rId183">
        <w:r>
          <w:rPr>
            <w:color w:val="0000FF"/>
          </w:rPr>
          <w:t>абзаца восьмого пункта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w:t>
      </w:r>
      <w:proofErr w:type="gramEnd"/>
      <w:r>
        <w:t xml:space="preserve"> платы;</w:t>
      </w:r>
    </w:p>
    <w:p w:rsidR="00D84B55" w:rsidRDefault="00D84B55">
      <w:pPr>
        <w:pStyle w:val="ConsPlusNormal"/>
        <w:spacing w:before="200"/>
        <w:ind w:firstLine="540"/>
        <w:jc w:val="both"/>
      </w:pPr>
      <w:proofErr w:type="gramStart"/>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вторым предложением </w:t>
      </w:r>
      <w:hyperlink r:id="rId184">
        <w:r>
          <w:rPr>
            <w:color w:val="0000FF"/>
          </w:rPr>
          <w:t>абзаца восьмого пункта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roofErr w:type="gramEnd"/>
    </w:p>
    <w:p w:rsidR="00D84B55" w:rsidRDefault="00D84B55">
      <w:pPr>
        <w:pStyle w:val="ConsPlusNormal"/>
        <w:spacing w:before="200"/>
        <w:ind w:firstLine="540"/>
        <w:jc w:val="both"/>
      </w:pPr>
      <w:r>
        <w:t>Размер платы для каждого присоединения рассчитывается сетевой организацией в соответствии с утвержденной формулой.</w:t>
      </w:r>
    </w:p>
    <w:p w:rsidR="00D84B55" w:rsidRDefault="00D84B55">
      <w:pPr>
        <w:pStyle w:val="ConsPlusNormal"/>
        <w:spacing w:before="200"/>
        <w:ind w:firstLine="540"/>
        <w:jc w:val="both"/>
      </w:pPr>
      <w:r>
        <w:t>Стандартизированные тарифные ставки С</w:t>
      </w:r>
      <w:proofErr w:type="gramStart"/>
      <w:r>
        <w:rPr>
          <w:vertAlign w:val="subscript"/>
        </w:rPr>
        <w:t>2</w:t>
      </w:r>
      <w:proofErr w:type="gramEnd"/>
      <w:r>
        <w:t xml:space="preserve"> и С</w:t>
      </w:r>
      <w:r>
        <w:rPr>
          <w:vertAlign w:val="subscript"/>
        </w:rPr>
        <w:t>3</w:t>
      </w:r>
      <w:r>
        <w:t xml:space="preserve"> применяются к протяженности линий электропередачи по трассе.</w:t>
      </w:r>
    </w:p>
    <w:p w:rsidR="00D84B55" w:rsidRDefault="00D84B55">
      <w:pPr>
        <w:pStyle w:val="ConsPlusNormal"/>
        <w:spacing w:before="200"/>
        <w:ind w:firstLine="540"/>
        <w:jc w:val="both"/>
      </w:pPr>
      <w:proofErr w:type="gramStart"/>
      <w:r>
        <w:t>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определены дополнительно в течение периода регулирования по обращению сетевой организации в течение 30 рабочих дней с даты обращения территориальной сетевой организации в орган исполнительной власти субъекта Российской Федерации в области государственного регулирования тарифов.</w:t>
      </w:r>
      <w:proofErr w:type="gramEnd"/>
    </w:p>
    <w:p w:rsidR="00D84B55" w:rsidRDefault="00D84B55">
      <w:pPr>
        <w:pStyle w:val="ConsPlusNormal"/>
        <w:spacing w:before="200"/>
        <w:ind w:firstLine="540"/>
        <w:jc w:val="both"/>
      </w:pPr>
      <w:r>
        <w:t xml:space="preserve">33. Плата за технологическое присоединение при поэтапном технологическом присоединении определяется с учетом особенностей, установленных </w:t>
      </w:r>
      <w:hyperlink r:id="rId185">
        <w:r>
          <w:rPr>
            <w:color w:val="0000FF"/>
          </w:rPr>
          <w:t>абзацами первым</w:t>
        </w:r>
      </w:hyperlink>
      <w:r>
        <w:t xml:space="preserve"> и </w:t>
      </w:r>
      <w:hyperlink r:id="rId186">
        <w:r>
          <w:rPr>
            <w:color w:val="0000FF"/>
          </w:rPr>
          <w:t>шестым пункта 17(1)</w:t>
        </w:r>
      </w:hyperlink>
      <w:r>
        <w:t xml:space="preserve"> Правил технологического присоединения (Собрание законодательства Российской Федерации, 2004, N 52, ст. 5525; 2022, N 1, ст. 255). При этом расходы по стандартизированной тарифной ставке С</w:t>
      </w:r>
      <w:proofErr w:type="gramStart"/>
      <w:r>
        <w:rPr>
          <w:vertAlign w:val="subscript"/>
        </w:rPr>
        <w:t>1</w:t>
      </w:r>
      <w:proofErr w:type="gramEnd"/>
      <w:r>
        <w:rPr>
          <w:vertAlign w:val="subscript"/>
        </w:rPr>
        <w:t>.1</w:t>
      </w:r>
      <w:r>
        <w:t xml:space="preserve"> определяются однократно.</w:t>
      </w:r>
    </w:p>
    <w:p w:rsidR="00D84B55" w:rsidRDefault="00D84B55">
      <w:pPr>
        <w:pStyle w:val="ConsPlusNormal"/>
        <w:jc w:val="both"/>
      </w:pPr>
    </w:p>
    <w:p w:rsidR="00D84B55" w:rsidRDefault="00D84B55">
      <w:pPr>
        <w:pStyle w:val="ConsPlusTitle"/>
        <w:jc w:val="center"/>
        <w:outlineLvl w:val="1"/>
      </w:pPr>
      <w:bookmarkStart w:id="21" w:name="P377"/>
      <w:bookmarkEnd w:id="21"/>
      <w:r>
        <w:t>III. Расчет размера платы за технологическое присоединение</w:t>
      </w:r>
    </w:p>
    <w:p w:rsidR="00D84B55" w:rsidRDefault="00D84B55">
      <w:pPr>
        <w:pStyle w:val="ConsPlusTitle"/>
        <w:jc w:val="center"/>
      </w:pPr>
      <w:r>
        <w:t xml:space="preserve">по </w:t>
      </w:r>
      <w:proofErr w:type="gramStart"/>
      <w:r>
        <w:t>индивидуальному проекту</w:t>
      </w:r>
      <w:proofErr w:type="gramEnd"/>
    </w:p>
    <w:p w:rsidR="00D84B55" w:rsidRDefault="00D84B55">
      <w:pPr>
        <w:pStyle w:val="ConsPlusNormal"/>
        <w:jc w:val="both"/>
      </w:pPr>
    </w:p>
    <w:p w:rsidR="00D84B55" w:rsidRDefault="00D84B55">
      <w:pPr>
        <w:pStyle w:val="ConsPlusNormal"/>
        <w:ind w:firstLine="540"/>
        <w:jc w:val="both"/>
      </w:pPr>
      <w:r>
        <w:t xml:space="preserve">34. Плата за технологическое присоединение к электрическим сетям территориальных сетевых организаций по </w:t>
      </w:r>
      <w:proofErr w:type="gramStart"/>
      <w:r>
        <w:t>индивидуальному проекту</w:t>
      </w:r>
      <w:proofErr w:type="gramEnd"/>
      <w:r>
        <w:t xml:space="preserve"> определяется только при наличии оснований, предусмотренных </w:t>
      </w:r>
      <w:hyperlink r:id="rId187">
        <w:r>
          <w:rPr>
            <w:color w:val="0000FF"/>
          </w:rPr>
          <w:t>абзацем первым пункта 30.5</w:t>
        </w:r>
      </w:hyperlink>
      <w:r>
        <w:t xml:space="preserve"> Правил технологического присоединения (Собрание законодательства Российской Федерации, 2004, N 52, ст. 5525; 2019, N 23, ст. 2940).</w:t>
      </w:r>
    </w:p>
    <w:p w:rsidR="00D84B55" w:rsidRDefault="00D84B55">
      <w:pPr>
        <w:pStyle w:val="ConsPlusNormal"/>
        <w:spacing w:before="200"/>
        <w:ind w:firstLine="540"/>
        <w:jc w:val="both"/>
      </w:pPr>
      <w:r>
        <w:t xml:space="preserve">35. Плата за технологическое присоединение для Заявителей, присоединяющихся к электрическим сетям по </w:t>
      </w:r>
      <w:proofErr w:type="gramStart"/>
      <w:r>
        <w:t>индивидуальному проекту</w:t>
      </w:r>
      <w:proofErr w:type="gramEnd"/>
      <w:r>
        <w:t>, определяется в соответствии с выданными техническими условиями по формуле (59) и устанавливается в тыс. руб.:</w:t>
      </w:r>
    </w:p>
    <w:p w:rsidR="00D84B55" w:rsidRDefault="00D84B55">
      <w:pPr>
        <w:pStyle w:val="ConsPlusNormal"/>
        <w:jc w:val="both"/>
      </w:pPr>
    </w:p>
    <w:p w:rsidR="00D84B55" w:rsidRDefault="00D84B55">
      <w:pPr>
        <w:pStyle w:val="ConsPlusNormal"/>
        <w:jc w:val="center"/>
      </w:pPr>
      <w:r>
        <w:t xml:space="preserve">ПТП = P + </w:t>
      </w:r>
      <w:proofErr w:type="gramStart"/>
      <w:r>
        <w:t>P</w:t>
      </w:r>
      <w:proofErr w:type="gramEnd"/>
      <w:r>
        <w:rPr>
          <w:vertAlign w:val="subscript"/>
        </w:rPr>
        <w:t>и</w:t>
      </w:r>
      <w:r>
        <w:t xml:space="preserve"> + P</w:t>
      </w:r>
      <w:r>
        <w:rPr>
          <w:vertAlign w:val="subscript"/>
        </w:rPr>
        <w:t>тп</w:t>
      </w:r>
      <w:r>
        <w:t>, (59),</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r>
        <w:t xml:space="preserve">P - стоимость мероприятий, перечисленных в </w:t>
      </w:r>
      <w:hyperlink w:anchor="P88">
        <w:r>
          <w:rPr>
            <w:color w:val="0000FF"/>
          </w:rPr>
          <w:t>пункте 16</w:t>
        </w:r>
      </w:hyperlink>
      <w:r>
        <w:t xml:space="preserve"> (за исключением </w:t>
      </w:r>
      <w:hyperlink w:anchor="P90">
        <w:r>
          <w:rPr>
            <w:color w:val="0000FF"/>
          </w:rPr>
          <w:t>подпункта "б"</w:t>
        </w:r>
      </w:hyperlink>
      <w:r>
        <w:t>)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 тыс. руб.;</w:t>
      </w:r>
    </w:p>
    <w:p w:rsidR="00D84B55" w:rsidRDefault="00D84B55">
      <w:pPr>
        <w:pStyle w:val="ConsPlusNormal"/>
        <w:spacing w:before="200"/>
        <w:ind w:firstLine="540"/>
        <w:jc w:val="both"/>
      </w:pPr>
      <w:proofErr w:type="gramStart"/>
      <w:r>
        <w:t>P</w:t>
      </w:r>
      <w:proofErr w:type="gramEnd"/>
      <w:r>
        <w:rPr>
          <w:vertAlign w:val="subscript"/>
        </w:rPr>
        <w:t>и</w:t>
      </w:r>
      <w:r>
        <w:t xml:space="preserve"> - расходы на выполнение мероприятий "последней мили" (</w:t>
      </w:r>
      <w:hyperlink w:anchor="P90">
        <w:r>
          <w:rPr>
            <w:color w:val="0000FF"/>
          </w:rPr>
          <w:t>подпункт "б" пункта 16</w:t>
        </w:r>
      </w:hyperlink>
      <w:r>
        <w:t xml:space="preserve"> Методических указаний), а также на обеспечение средствами коммерческого учета электрической энергии (мощности) согласно выданным техническим условиям, определяемые в отношении территориальных сетевых организаций в соответствии с </w:t>
      </w:r>
      <w:hyperlink w:anchor="P95">
        <w:r>
          <w:rPr>
            <w:color w:val="0000FF"/>
          </w:rPr>
          <w:t>абзацами четвертым</w:t>
        </w:r>
      </w:hyperlink>
      <w:r>
        <w:t xml:space="preserve"> и </w:t>
      </w:r>
      <w:hyperlink w:anchor="P96">
        <w:r>
          <w:rPr>
            <w:color w:val="0000FF"/>
          </w:rPr>
          <w:t>пятым пункта 17</w:t>
        </w:r>
      </w:hyperlink>
      <w:r>
        <w:t xml:space="preserve"> Методических указаний, а в отношении владельцев объектов электросетевого хозяйства, отнесенных к единой (национальной) общероссийской электрической сети, - по смете, выполненной с применением сметных нормативов в соответствии с </w:t>
      </w:r>
      <w:hyperlink r:id="rId188">
        <w:r>
          <w:rPr>
            <w:color w:val="0000FF"/>
          </w:rPr>
          <w:t>Методикой</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4 августа 2020 г. N 421/</w:t>
      </w:r>
      <w:proofErr w:type="gramStart"/>
      <w:r>
        <w:t>пр</w:t>
      </w:r>
      <w:proofErr w:type="gramEnd"/>
      <w:r>
        <w:t xml:space="preserve"> (зарегистрирован Минюстом России 23 сентября 2020 г., регистрационный N 59986), тыс. руб.;</w:t>
      </w:r>
    </w:p>
    <w:p w:rsidR="00D84B55" w:rsidRDefault="00D84B55">
      <w:pPr>
        <w:pStyle w:val="ConsPlusNormal"/>
        <w:spacing w:before="200"/>
        <w:ind w:firstLine="540"/>
        <w:jc w:val="both"/>
      </w:pPr>
      <w:proofErr w:type="gramStart"/>
      <w:r>
        <w:t>P</w:t>
      </w:r>
      <w:proofErr w:type="gramEnd"/>
      <w:r>
        <w:rPr>
          <w:vertAlign w:val="subscript"/>
        </w:rPr>
        <w:t>тп</w:t>
      </w:r>
      <w:r>
        <w:t xml:space="preserve"> - расходы на оплату услуг технологического присоединения к электрическим сетям смежной сетевой организации, тыс. руб.</w:t>
      </w:r>
    </w:p>
    <w:p w:rsidR="00D84B55" w:rsidRDefault="00D84B55">
      <w:pPr>
        <w:pStyle w:val="ConsPlusNormal"/>
        <w:jc w:val="both"/>
      </w:pPr>
    </w:p>
    <w:p w:rsidR="00D84B55" w:rsidRDefault="00D84B55">
      <w:pPr>
        <w:pStyle w:val="ConsPlusTitle"/>
        <w:jc w:val="center"/>
        <w:outlineLvl w:val="1"/>
      </w:pPr>
      <w:bookmarkStart w:id="22" w:name="P390"/>
      <w:bookmarkEnd w:id="22"/>
      <w:r>
        <w:t>IV. Особенности учета запрашиваемой Заявителем</w:t>
      </w:r>
    </w:p>
    <w:p w:rsidR="00D84B55" w:rsidRDefault="00D84B55">
      <w:pPr>
        <w:pStyle w:val="ConsPlusTitle"/>
        <w:jc w:val="center"/>
      </w:pPr>
      <w:r>
        <w:t>категории надежности электроснабжения при расчете платы</w:t>
      </w:r>
    </w:p>
    <w:p w:rsidR="00D84B55" w:rsidRDefault="00D84B55">
      <w:pPr>
        <w:pStyle w:val="ConsPlusTitle"/>
        <w:jc w:val="center"/>
      </w:pPr>
      <w:r>
        <w:t>за технологическое присоединение</w:t>
      </w:r>
    </w:p>
    <w:p w:rsidR="00D84B55" w:rsidRDefault="00D84B55">
      <w:pPr>
        <w:pStyle w:val="ConsPlusNormal"/>
        <w:jc w:val="both"/>
      </w:pPr>
    </w:p>
    <w:p w:rsidR="00D84B55" w:rsidRDefault="00D84B55">
      <w:pPr>
        <w:pStyle w:val="ConsPlusNormal"/>
        <w:ind w:firstLine="540"/>
        <w:jc w:val="both"/>
      </w:pPr>
      <w:r>
        <w:t>36.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rsidR="00D84B55" w:rsidRDefault="00D84B55">
      <w:pPr>
        <w:pStyle w:val="ConsPlusNormal"/>
        <w:spacing w:before="200"/>
        <w:ind w:firstLine="540"/>
        <w:jc w:val="both"/>
      </w:pPr>
      <w:r>
        <w:t xml:space="preserve">37.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определяется в соответствии с </w:t>
      </w:r>
      <w:hyperlink w:anchor="P118">
        <w:r>
          <w:rPr>
            <w:color w:val="0000FF"/>
          </w:rPr>
          <w:t>главой II</w:t>
        </w:r>
      </w:hyperlink>
      <w:r>
        <w:t xml:space="preserve"> Методических указаний.</w:t>
      </w:r>
    </w:p>
    <w:p w:rsidR="00D84B55" w:rsidRDefault="00D84B55">
      <w:pPr>
        <w:pStyle w:val="ConsPlusNormal"/>
        <w:spacing w:before="200"/>
        <w:ind w:firstLine="540"/>
        <w:jc w:val="both"/>
      </w:pPr>
      <w:r>
        <w:t>38.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gramStart"/>
      <w:r>
        <w:t>P</w:t>
      </w:r>
      <w:proofErr w:type="gramEnd"/>
      <w:r>
        <w:rPr>
          <w:vertAlign w:val="subscript"/>
        </w:rPr>
        <w:t>общ</w:t>
      </w:r>
      <w:r>
        <w:t>, руб.) определяется по формуле (60):</w:t>
      </w:r>
    </w:p>
    <w:p w:rsidR="00D84B55" w:rsidRDefault="00D84B55">
      <w:pPr>
        <w:pStyle w:val="ConsPlusNormal"/>
        <w:jc w:val="both"/>
      </w:pPr>
    </w:p>
    <w:p w:rsidR="00D84B55" w:rsidRDefault="00D84B55">
      <w:pPr>
        <w:pStyle w:val="ConsPlusNormal"/>
        <w:jc w:val="center"/>
      </w:pPr>
      <w:proofErr w:type="gramStart"/>
      <w:r>
        <w:t>P</w:t>
      </w:r>
      <w:proofErr w:type="gramEnd"/>
      <w:r>
        <w:rPr>
          <w:vertAlign w:val="subscript"/>
        </w:rPr>
        <w:t>общ</w:t>
      </w:r>
      <w:r>
        <w:t xml:space="preserve"> = P + (P</w:t>
      </w:r>
      <w:r>
        <w:rPr>
          <w:vertAlign w:val="subscript"/>
        </w:rPr>
        <w:t>ист1</w:t>
      </w:r>
      <w:r>
        <w:t xml:space="preserve"> + P</w:t>
      </w:r>
      <w:r>
        <w:rPr>
          <w:vertAlign w:val="subscript"/>
        </w:rPr>
        <w:t>ист2</w:t>
      </w:r>
      <w:r>
        <w:t>), (60),</w:t>
      </w:r>
    </w:p>
    <w:p w:rsidR="00D84B55" w:rsidRDefault="00D84B55">
      <w:pPr>
        <w:pStyle w:val="ConsPlusNormal"/>
        <w:jc w:val="both"/>
      </w:pPr>
    </w:p>
    <w:p w:rsidR="00D84B55" w:rsidRDefault="00D84B55">
      <w:pPr>
        <w:pStyle w:val="ConsPlusNormal"/>
        <w:ind w:firstLine="540"/>
        <w:jc w:val="both"/>
      </w:pPr>
      <w:r>
        <w:t>где:</w:t>
      </w:r>
    </w:p>
    <w:p w:rsidR="00D84B55" w:rsidRDefault="00D84B55">
      <w:pPr>
        <w:pStyle w:val="ConsPlusNormal"/>
        <w:spacing w:before="200"/>
        <w:ind w:firstLine="540"/>
        <w:jc w:val="both"/>
      </w:pPr>
      <w:r>
        <w:t xml:space="preserve">P - расходы на технологическое присоединение, связанные с проведением мероприятий, указанных в </w:t>
      </w:r>
      <w:hyperlink w:anchor="P88">
        <w:r>
          <w:rPr>
            <w:color w:val="0000FF"/>
          </w:rPr>
          <w:t>пункте 16</w:t>
        </w:r>
      </w:hyperlink>
      <w:r>
        <w:t xml:space="preserve"> Методических указаний, за исключением указанных в </w:t>
      </w:r>
      <w:hyperlink w:anchor="P90">
        <w:r>
          <w:rPr>
            <w:color w:val="0000FF"/>
          </w:rPr>
          <w:t>подпункте "б"</w:t>
        </w:r>
      </w:hyperlink>
      <w:r>
        <w:t>, руб.;</w:t>
      </w:r>
    </w:p>
    <w:p w:rsidR="00D84B55" w:rsidRDefault="00D84B55">
      <w:pPr>
        <w:pStyle w:val="ConsPlusNormal"/>
        <w:spacing w:before="200"/>
        <w:ind w:firstLine="540"/>
        <w:jc w:val="both"/>
      </w:pPr>
      <w:r>
        <w:t>P</w:t>
      </w:r>
      <w:r>
        <w:rPr>
          <w:vertAlign w:val="subscript"/>
        </w:rPr>
        <w:t>ист1</w:t>
      </w:r>
      <w:r>
        <w:t xml:space="preserve"> - расходы на выполнение мероприятий, предусмотренных </w:t>
      </w:r>
      <w:hyperlink w:anchor="P90">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w:t>
      </w:r>
      <w:hyperlink w:anchor="P118">
        <w:r>
          <w:rPr>
            <w:color w:val="0000FF"/>
          </w:rPr>
          <w:t>главой II</w:t>
        </w:r>
      </w:hyperlink>
      <w:r>
        <w:t xml:space="preserve"> или </w:t>
      </w:r>
      <w:hyperlink w:anchor="P377">
        <w:r>
          <w:rPr>
            <w:color w:val="0000FF"/>
          </w:rPr>
          <w:t>главой III</w:t>
        </w:r>
      </w:hyperlink>
      <w:r>
        <w:t xml:space="preserve"> Методических указаний, руб.;</w:t>
      </w:r>
    </w:p>
    <w:p w:rsidR="00D84B55" w:rsidRDefault="00D84B55">
      <w:pPr>
        <w:pStyle w:val="ConsPlusNormal"/>
        <w:spacing w:before="200"/>
        <w:ind w:firstLine="540"/>
        <w:jc w:val="both"/>
      </w:pPr>
      <w:r>
        <w:t>P</w:t>
      </w:r>
      <w:r>
        <w:rPr>
          <w:vertAlign w:val="subscript"/>
        </w:rPr>
        <w:t>ист2</w:t>
      </w:r>
      <w:r>
        <w:t xml:space="preserve"> - расходы на выполнение мероприятий, предусмотренных </w:t>
      </w:r>
      <w:hyperlink w:anchor="P90">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w:t>
      </w:r>
      <w:hyperlink w:anchor="P118">
        <w:r>
          <w:rPr>
            <w:color w:val="0000FF"/>
          </w:rPr>
          <w:t>главой II</w:t>
        </w:r>
      </w:hyperlink>
      <w:r>
        <w:t xml:space="preserve"> или </w:t>
      </w:r>
      <w:hyperlink w:anchor="P377">
        <w:r>
          <w:rPr>
            <w:color w:val="0000FF"/>
          </w:rPr>
          <w:t>главой III</w:t>
        </w:r>
      </w:hyperlink>
      <w:r>
        <w:t xml:space="preserve"> Методических указаний, руб.</w:t>
      </w: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right"/>
        <w:outlineLvl w:val="1"/>
      </w:pPr>
      <w:r>
        <w:t>Приложение N 1</w:t>
      </w:r>
    </w:p>
    <w:p w:rsidR="00D84B55" w:rsidRDefault="00D84B55">
      <w:pPr>
        <w:pStyle w:val="ConsPlusNormal"/>
        <w:jc w:val="right"/>
      </w:pPr>
      <w:r>
        <w:t>к Методическим указаниям</w:t>
      </w:r>
    </w:p>
    <w:p w:rsidR="00D84B55" w:rsidRDefault="00D84B55">
      <w:pPr>
        <w:pStyle w:val="ConsPlusNormal"/>
        <w:jc w:val="right"/>
      </w:pPr>
      <w:r>
        <w:t>по определению размера платы</w:t>
      </w:r>
    </w:p>
    <w:p w:rsidR="00D84B55" w:rsidRDefault="00D84B55">
      <w:pPr>
        <w:pStyle w:val="ConsPlusNormal"/>
        <w:jc w:val="right"/>
      </w:pPr>
      <w:r>
        <w:t>за технологическое присоединение</w:t>
      </w:r>
    </w:p>
    <w:p w:rsidR="00D84B55" w:rsidRDefault="00D84B55">
      <w:pPr>
        <w:pStyle w:val="ConsPlusNormal"/>
        <w:jc w:val="right"/>
      </w:pPr>
      <w:r>
        <w:t>к электрическим сетям</w:t>
      </w:r>
    </w:p>
    <w:p w:rsidR="00D84B55" w:rsidRDefault="00D84B55">
      <w:pPr>
        <w:pStyle w:val="ConsPlusNormal"/>
        <w:jc w:val="both"/>
      </w:pPr>
    </w:p>
    <w:p w:rsidR="00D84B55" w:rsidRDefault="00D84B55">
      <w:pPr>
        <w:pStyle w:val="ConsPlusNormal"/>
        <w:jc w:val="right"/>
      </w:pPr>
      <w:r>
        <w:t>(рекомендуемый образец)</w:t>
      </w:r>
    </w:p>
    <w:p w:rsidR="00D84B55" w:rsidRDefault="00D84B55">
      <w:pPr>
        <w:pStyle w:val="ConsPlusNormal"/>
        <w:jc w:val="both"/>
      </w:pPr>
    </w:p>
    <w:p w:rsidR="00D84B55" w:rsidRDefault="00D84B55">
      <w:pPr>
        <w:pStyle w:val="ConsPlusNormal"/>
        <w:jc w:val="center"/>
      </w:pPr>
      <w:bookmarkStart w:id="23" w:name="P417"/>
      <w:bookmarkEnd w:id="23"/>
      <w:r>
        <w:t>Расходы</w:t>
      </w:r>
    </w:p>
    <w:p w:rsidR="00D84B55" w:rsidRDefault="00D84B55">
      <w:pPr>
        <w:pStyle w:val="ConsPlusNormal"/>
        <w:jc w:val="center"/>
      </w:pPr>
      <w:r>
        <w:t>на строительство введенных в эксплуатацию объектов</w:t>
      </w:r>
    </w:p>
    <w:p w:rsidR="00D84B55" w:rsidRDefault="00D84B55">
      <w:pPr>
        <w:pStyle w:val="ConsPlusNormal"/>
        <w:jc w:val="center"/>
      </w:pPr>
      <w:r>
        <w:t>электросетевого хозяйства для целей технологического</w:t>
      </w:r>
    </w:p>
    <w:p w:rsidR="00D84B55" w:rsidRDefault="00D84B55">
      <w:pPr>
        <w:pStyle w:val="ConsPlusNormal"/>
        <w:jc w:val="center"/>
      </w:pPr>
      <w:r>
        <w:t>присоединения и для целей реализации иных мероприятий</w:t>
      </w:r>
    </w:p>
    <w:p w:rsidR="00D84B55" w:rsidRDefault="00D84B55">
      <w:pPr>
        <w:pStyle w:val="ConsPlusNormal"/>
        <w:jc w:val="center"/>
      </w:pPr>
      <w:r>
        <w:t>инвестиционной программы территориальной сетевой</w:t>
      </w:r>
    </w:p>
    <w:p w:rsidR="00D84B55" w:rsidRDefault="00D84B55">
      <w:pPr>
        <w:pStyle w:val="ConsPlusNormal"/>
        <w:jc w:val="center"/>
      </w:pPr>
      <w:r>
        <w:t>организации, а также на обеспечение средствами</w:t>
      </w:r>
    </w:p>
    <w:p w:rsidR="00D84B55" w:rsidRDefault="00D84B55">
      <w:pPr>
        <w:pStyle w:val="ConsPlusNormal"/>
        <w:jc w:val="center"/>
      </w:pPr>
      <w:r>
        <w:t>коммерческого учета электрической энергии (мощности)</w:t>
      </w:r>
    </w:p>
    <w:p w:rsidR="00D84B55" w:rsidRDefault="00D84B55">
      <w:pPr>
        <w:pStyle w:val="ConsPlusNormal"/>
        <w:jc w:val="both"/>
      </w:pPr>
    </w:p>
    <w:p w:rsidR="00D84B55" w:rsidRDefault="00D84B55">
      <w:pPr>
        <w:pStyle w:val="ConsPlusNormal"/>
        <w:sectPr w:rsidR="00D84B55" w:rsidSect="00264EB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120"/>
        <w:gridCol w:w="1142"/>
        <w:gridCol w:w="1642"/>
        <w:gridCol w:w="2290"/>
        <w:gridCol w:w="2016"/>
        <w:gridCol w:w="2150"/>
      </w:tblGrid>
      <w:tr w:rsidR="00D84B55">
        <w:tc>
          <w:tcPr>
            <w:tcW w:w="1361" w:type="dxa"/>
          </w:tcPr>
          <w:p w:rsidR="00D84B55" w:rsidRDefault="00D84B55">
            <w:pPr>
              <w:pStyle w:val="ConsPlusNormal"/>
              <w:jc w:val="center"/>
            </w:pPr>
            <w:r>
              <w:t>N</w:t>
            </w:r>
          </w:p>
        </w:tc>
        <w:tc>
          <w:tcPr>
            <w:tcW w:w="3120" w:type="dxa"/>
          </w:tcPr>
          <w:p w:rsidR="00D84B55" w:rsidRDefault="00D84B55">
            <w:pPr>
              <w:pStyle w:val="ConsPlusNormal"/>
              <w:jc w:val="center"/>
            </w:pPr>
            <w:r>
              <w:t>Объект электросетевого хозяйства/Средство коммерческого учета электрической энергии (мощности)</w:t>
            </w:r>
          </w:p>
        </w:tc>
        <w:tc>
          <w:tcPr>
            <w:tcW w:w="1142" w:type="dxa"/>
          </w:tcPr>
          <w:p w:rsidR="00D84B55" w:rsidRDefault="00D84B55">
            <w:pPr>
              <w:pStyle w:val="ConsPlusNormal"/>
              <w:jc w:val="center"/>
            </w:pPr>
            <w:r>
              <w:t>Год ввода объекта</w:t>
            </w:r>
          </w:p>
        </w:tc>
        <w:tc>
          <w:tcPr>
            <w:tcW w:w="1642" w:type="dxa"/>
          </w:tcPr>
          <w:p w:rsidR="00D84B55" w:rsidRDefault="00D84B55">
            <w:pPr>
              <w:pStyle w:val="ConsPlusNormal"/>
              <w:jc w:val="center"/>
            </w:pPr>
            <w:r>
              <w:t>Уровень напряжения, кВ</w:t>
            </w:r>
          </w:p>
        </w:tc>
        <w:tc>
          <w:tcPr>
            <w:tcW w:w="2290" w:type="dxa"/>
          </w:tcPr>
          <w:p w:rsidR="00D84B55" w:rsidRDefault="00D84B55">
            <w:pPr>
              <w:pStyle w:val="ConsPlusNormal"/>
              <w:jc w:val="center"/>
            </w:pPr>
            <w:r>
              <w:t>Протяженность (для линий электропередачи), метров/Количество пунктов секционирования, штук/Количество точек учета, штук</w:t>
            </w:r>
          </w:p>
        </w:tc>
        <w:tc>
          <w:tcPr>
            <w:tcW w:w="2016" w:type="dxa"/>
          </w:tcPr>
          <w:p w:rsidR="00D84B55" w:rsidRDefault="00D84B55">
            <w:pPr>
              <w:pStyle w:val="ConsPlusNormal"/>
              <w:jc w:val="center"/>
            </w:pPr>
            <w:r>
              <w:t>Максимальная мощность, кВт</w:t>
            </w:r>
          </w:p>
        </w:tc>
        <w:tc>
          <w:tcPr>
            <w:tcW w:w="2150" w:type="dxa"/>
            <w:vAlign w:val="bottom"/>
          </w:tcPr>
          <w:p w:rsidR="00D84B55" w:rsidRDefault="00D84B55">
            <w:pPr>
              <w:pStyle w:val="ConsPlusNormal"/>
              <w:jc w:val="center"/>
            </w:pPr>
            <w:r>
              <w:t>Расходы на строительство объекта/на обеспечение средствами коммерческого учета электрической энергии (мощности), тыс. руб.</w:t>
            </w:r>
          </w:p>
        </w:tc>
      </w:tr>
      <w:tr w:rsidR="00D84B55">
        <w:tc>
          <w:tcPr>
            <w:tcW w:w="1361" w:type="dxa"/>
          </w:tcPr>
          <w:p w:rsidR="00D84B55" w:rsidRDefault="00D84B55">
            <w:pPr>
              <w:pStyle w:val="ConsPlusNormal"/>
              <w:outlineLvl w:val="2"/>
            </w:pPr>
            <w:r>
              <w:t>1.</w:t>
            </w:r>
          </w:p>
        </w:tc>
        <w:tc>
          <w:tcPr>
            <w:tcW w:w="3120" w:type="dxa"/>
            <w:vAlign w:val="bottom"/>
          </w:tcPr>
          <w:p w:rsidR="00D84B55" w:rsidRDefault="00D84B55">
            <w:pPr>
              <w:pStyle w:val="ConsPlusNormal"/>
              <w:jc w:val="both"/>
            </w:pPr>
            <w:r>
              <w:t>Строительство воздушных линий</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1.j</w:t>
            </w:r>
          </w:p>
        </w:tc>
        <w:tc>
          <w:tcPr>
            <w:tcW w:w="3120" w:type="dxa"/>
            <w:vAlign w:val="bottom"/>
          </w:tcPr>
          <w:p w:rsidR="00D84B55" w:rsidRDefault="00D84B55">
            <w:pPr>
              <w:pStyle w:val="ConsPlusNormal"/>
              <w:jc w:val="both"/>
            </w:pPr>
            <w:proofErr w:type="gramStart"/>
            <w:r>
              <w:t>Материал опоры (деревянные (j = 1), металлические (j = 2), железобетонные (j = 3)</w:t>
            </w:r>
            <w:proofErr w:type="gramEnd"/>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1.j.k</w:t>
            </w:r>
          </w:p>
        </w:tc>
        <w:tc>
          <w:tcPr>
            <w:tcW w:w="3120" w:type="dxa"/>
            <w:vAlign w:val="bottom"/>
          </w:tcPr>
          <w:p w:rsidR="00D84B55" w:rsidRDefault="00D84B55">
            <w:pPr>
              <w:pStyle w:val="ConsPlusNormal"/>
              <w:jc w:val="both"/>
            </w:pPr>
            <w:proofErr w:type="gramStart"/>
            <w:r>
              <w:t>Тип провода (изолированный провод (k = 1), неизолированный провод (k = 2)</w:t>
            </w:r>
            <w:proofErr w:type="gramEnd"/>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1.j.k.l</w:t>
            </w:r>
          </w:p>
        </w:tc>
        <w:tc>
          <w:tcPr>
            <w:tcW w:w="3120" w:type="dxa"/>
            <w:vAlign w:val="bottom"/>
          </w:tcPr>
          <w:p w:rsidR="00D84B55" w:rsidRDefault="00D84B55">
            <w:pPr>
              <w:pStyle w:val="ConsPlusNormal"/>
              <w:jc w:val="both"/>
            </w:pPr>
            <w:proofErr w:type="gramStart"/>
            <w:r>
              <w:t>Материал провода (медный (l = 1), стальной (l = 2), сталеалюминиевый (l = 3), алюминиевый (l = 4)</w:t>
            </w:r>
            <w:proofErr w:type="gramEnd"/>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1.j.k.l.m</w:t>
            </w:r>
          </w:p>
        </w:tc>
        <w:tc>
          <w:tcPr>
            <w:tcW w:w="3120" w:type="dxa"/>
            <w:vAlign w:val="bottom"/>
          </w:tcPr>
          <w:p w:rsidR="00D84B55" w:rsidRDefault="00D84B55">
            <w:pPr>
              <w:pStyle w:val="ConsPlusNormal"/>
              <w:jc w:val="both"/>
            </w:pPr>
            <w:proofErr w:type="gramStart"/>
            <w:r>
              <w:t>Сечение провода (диапазон до 50 квадратных мм включительно (m = 1), от 50 до 100 квадратных мм включительно (m = 2), от 100 до 200 квадратных мм включительно (m = 3), от 200 до 500 квадратных мм включительно (m = 4), от 500 до 800 квадратных мм включительно (m = 5), свыше 800 квадратных мм (m = 6)</w:t>
            </w:r>
            <w:proofErr w:type="gramEnd"/>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pPr>
          </w:p>
        </w:tc>
      </w:tr>
      <w:tr w:rsidR="00D84B55">
        <w:tc>
          <w:tcPr>
            <w:tcW w:w="1361" w:type="dxa"/>
          </w:tcPr>
          <w:p w:rsidR="00D84B55" w:rsidRDefault="00D84B55">
            <w:pPr>
              <w:pStyle w:val="ConsPlusNormal"/>
            </w:pPr>
            <w:r>
              <w:t>1.j.k.l.m.n</w:t>
            </w:r>
          </w:p>
        </w:tc>
        <w:tc>
          <w:tcPr>
            <w:tcW w:w="3120" w:type="dxa"/>
            <w:vAlign w:val="bottom"/>
          </w:tcPr>
          <w:p w:rsidR="00D84B55" w:rsidRDefault="00D84B55">
            <w:pPr>
              <w:pStyle w:val="ConsPlusNormal"/>
              <w:jc w:val="both"/>
            </w:pPr>
            <w:proofErr w:type="gramStart"/>
            <w:r>
              <w:t>Количество цепей (одноцепная (n = 1), двухцепная (n = 2)</w:t>
            </w:r>
            <w:proofErr w:type="gramEnd"/>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1.j.k.l.m.n.o</w:t>
            </w:r>
          </w:p>
        </w:tc>
        <w:tc>
          <w:tcPr>
            <w:tcW w:w="3120" w:type="dxa"/>
            <w:vAlign w:val="center"/>
          </w:tcPr>
          <w:p w:rsidR="00D84B55" w:rsidRDefault="00D84B55">
            <w:pPr>
              <w:pStyle w:val="ConsPlusNormal"/>
              <w:jc w:val="both"/>
            </w:pPr>
            <w:r>
              <w:t>на металлических опорах, за исключением многогранных (o = 1), на многогранных опорах (o = 2)</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w:t>
            </w:r>
          </w:p>
        </w:tc>
        <w:tc>
          <w:tcPr>
            <w:tcW w:w="3120" w:type="dxa"/>
            <w:vAlign w:val="bottom"/>
          </w:tcPr>
          <w:p w:rsidR="00D84B55" w:rsidRDefault="00D84B55">
            <w:pPr>
              <w:pStyle w:val="ConsPlusNormal"/>
              <w:jc w:val="both"/>
            </w:pPr>
            <w:r>
              <w:t>&lt;пообъектная расшифровка&gt;</w:t>
            </w:r>
          </w:p>
        </w:tc>
        <w:tc>
          <w:tcPr>
            <w:tcW w:w="1142" w:type="dxa"/>
          </w:tcPr>
          <w:p w:rsidR="00D84B55" w:rsidRDefault="00D84B55">
            <w:pPr>
              <w:pStyle w:val="ConsPlusNormal"/>
            </w:pPr>
          </w:p>
        </w:tc>
        <w:tc>
          <w:tcPr>
            <w:tcW w:w="1642" w:type="dxa"/>
          </w:tcPr>
          <w:p w:rsidR="00D84B55" w:rsidRDefault="00D84B55">
            <w:pPr>
              <w:pStyle w:val="ConsPlusNormal"/>
            </w:pPr>
          </w:p>
        </w:tc>
        <w:tc>
          <w:tcPr>
            <w:tcW w:w="2290" w:type="dxa"/>
          </w:tcPr>
          <w:p w:rsidR="00D84B55" w:rsidRDefault="00D84B55">
            <w:pPr>
              <w:pStyle w:val="ConsPlusNormal"/>
            </w:pPr>
          </w:p>
        </w:tc>
        <w:tc>
          <w:tcPr>
            <w:tcW w:w="2016" w:type="dxa"/>
          </w:tcPr>
          <w:p w:rsidR="00D84B55" w:rsidRDefault="00D84B55">
            <w:pPr>
              <w:pStyle w:val="ConsPlusNormal"/>
            </w:pPr>
          </w:p>
        </w:tc>
        <w:tc>
          <w:tcPr>
            <w:tcW w:w="2150" w:type="dxa"/>
          </w:tcPr>
          <w:p w:rsidR="00D84B55" w:rsidRDefault="00D84B55">
            <w:pPr>
              <w:pStyle w:val="ConsPlusNormal"/>
            </w:pPr>
          </w:p>
        </w:tc>
      </w:tr>
      <w:tr w:rsidR="00D84B55">
        <w:tc>
          <w:tcPr>
            <w:tcW w:w="1361" w:type="dxa"/>
          </w:tcPr>
          <w:p w:rsidR="00D84B55" w:rsidRDefault="00D84B55">
            <w:pPr>
              <w:pStyle w:val="ConsPlusNormal"/>
              <w:outlineLvl w:val="2"/>
            </w:pPr>
            <w:r>
              <w:t>2.</w:t>
            </w:r>
          </w:p>
        </w:tc>
        <w:tc>
          <w:tcPr>
            <w:tcW w:w="3120" w:type="dxa"/>
            <w:vAlign w:val="center"/>
          </w:tcPr>
          <w:p w:rsidR="00D84B55" w:rsidRDefault="00D84B55">
            <w:pPr>
              <w:pStyle w:val="ConsPlusNormal"/>
              <w:jc w:val="both"/>
            </w:pPr>
            <w:r>
              <w:t>Строительство кабельных линий</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2.j</w:t>
            </w:r>
          </w:p>
        </w:tc>
        <w:tc>
          <w:tcPr>
            <w:tcW w:w="3120" w:type="dxa"/>
            <w:vAlign w:val="bottom"/>
          </w:tcPr>
          <w:p w:rsidR="00D84B55" w:rsidRDefault="00D84B55">
            <w:pPr>
              <w:pStyle w:val="ConsPlusNormal"/>
              <w:jc w:val="both"/>
            </w:pPr>
            <w:proofErr w:type="gramStart"/>
            <w:r>
              <w:t>Способ прокладки кабельных линий (в траншеях (j = 1), в блоках (j = 2), в каналах (j = 3), в туннелях и коллекторах (j = 4), в галереях и эстакадах (j = 5), горизонтальное наклонное бурение (j = 6), подводная прокладка (j = 7)</w:t>
            </w:r>
            <w:proofErr w:type="gramEnd"/>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2.j.k</w:t>
            </w:r>
          </w:p>
        </w:tc>
        <w:tc>
          <w:tcPr>
            <w:tcW w:w="3120" w:type="dxa"/>
            <w:vAlign w:val="bottom"/>
          </w:tcPr>
          <w:p w:rsidR="00D84B55" w:rsidRDefault="00D84B55">
            <w:pPr>
              <w:pStyle w:val="ConsPlusNormal"/>
              <w:jc w:val="both"/>
            </w:pPr>
            <w:r>
              <w:t>Одножильные (k = 1) и многожильные (k = 2)</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2.j.k.l</w:t>
            </w:r>
          </w:p>
        </w:tc>
        <w:tc>
          <w:tcPr>
            <w:tcW w:w="3120" w:type="dxa"/>
            <w:vAlign w:val="bottom"/>
          </w:tcPr>
          <w:p w:rsidR="00D84B55" w:rsidRDefault="00D84B55">
            <w:pPr>
              <w:pStyle w:val="ConsPlusNormal"/>
              <w:jc w:val="both"/>
            </w:pPr>
            <w:r>
              <w:t>Кабели с резиновой и пластмассовой изоляцией (l = 1), бумажной изоляцией (l = 2)</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2.j.k.l.m</w:t>
            </w:r>
          </w:p>
        </w:tc>
        <w:tc>
          <w:tcPr>
            <w:tcW w:w="3120" w:type="dxa"/>
            <w:vAlign w:val="bottom"/>
          </w:tcPr>
          <w:p w:rsidR="00D84B55" w:rsidRDefault="00D84B55">
            <w:pPr>
              <w:pStyle w:val="ConsPlusNormal"/>
              <w:jc w:val="both"/>
            </w:pPr>
            <w:proofErr w:type="gramStart"/>
            <w:r>
              <w:t>Сечение провода (диапазон до 50 квадратных мм включительно (m = 1), от 50 до 100 квадратных мм включительно (m = 2), от 100 до 200 квадратных мм включительно (m = 3), от 200 до 250 квадратных мм включительно (m = 4), от 250 до 300 квадратных мм включительно (m = 5), от 300 до 400 квадратных мм включительно (m = 6), от 400 до 500 квадратных</w:t>
            </w:r>
            <w:proofErr w:type="gramEnd"/>
            <w:r>
              <w:t xml:space="preserve"> </w:t>
            </w:r>
            <w:proofErr w:type="gramStart"/>
            <w:r>
              <w:t>мм</w:t>
            </w:r>
            <w:proofErr w:type="gramEnd"/>
            <w:r>
              <w:t xml:space="preserve"> включительно (m = 7), от 500 до 800 квадратных мм включительно (m = 8), свыше 800 квадратных мм (m = 9)</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2.j.k.l.m.n</w:t>
            </w:r>
          </w:p>
        </w:tc>
        <w:tc>
          <w:tcPr>
            <w:tcW w:w="3120" w:type="dxa"/>
            <w:vAlign w:val="bottom"/>
          </w:tcPr>
          <w:p w:rsidR="00D84B55" w:rsidRDefault="00D84B55">
            <w:pPr>
              <w:pStyle w:val="ConsPlusNormal"/>
              <w:jc w:val="both"/>
            </w:pPr>
            <w:proofErr w:type="gramStart"/>
            <w:r>
              <w:t>Количество кабелей в траншее, канале, туннеле или коллекторе, на галерее или эстакаде, труб в скважине (одна (n = 1), две (n = 2), три (n = 3), четыре (n = 4), более четырех (n = 5)</w:t>
            </w:r>
            <w:proofErr w:type="gramEnd"/>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w:t>
            </w:r>
          </w:p>
        </w:tc>
        <w:tc>
          <w:tcPr>
            <w:tcW w:w="3120" w:type="dxa"/>
            <w:vAlign w:val="bottom"/>
          </w:tcPr>
          <w:p w:rsidR="00D84B55" w:rsidRDefault="00D84B55">
            <w:pPr>
              <w:pStyle w:val="ConsPlusNormal"/>
              <w:jc w:val="both"/>
            </w:pPr>
            <w:r>
              <w:t>&lt;пообъектная расшифровка&gt;</w:t>
            </w:r>
          </w:p>
        </w:tc>
        <w:tc>
          <w:tcPr>
            <w:tcW w:w="1142" w:type="dxa"/>
          </w:tcPr>
          <w:p w:rsidR="00D84B55" w:rsidRDefault="00D84B55">
            <w:pPr>
              <w:pStyle w:val="ConsPlusNormal"/>
            </w:pPr>
          </w:p>
        </w:tc>
        <w:tc>
          <w:tcPr>
            <w:tcW w:w="1642" w:type="dxa"/>
          </w:tcPr>
          <w:p w:rsidR="00D84B55" w:rsidRDefault="00D84B55">
            <w:pPr>
              <w:pStyle w:val="ConsPlusNormal"/>
            </w:pPr>
          </w:p>
        </w:tc>
        <w:tc>
          <w:tcPr>
            <w:tcW w:w="2290" w:type="dxa"/>
          </w:tcPr>
          <w:p w:rsidR="00D84B55" w:rsidRDefault="00D84B55">
            <w:pPr>
              <w:pStyle w:val="ConsPlusNormal"/>
            </w:pPr>
          </w:p>
        </w:tc>
        <w:tc>
          <w:tcPr>
            <w:tcW w:w="2016" w:type="dxa"/>
          </w:tcPr>
          <w:p w:rsidR="00D84B55" w:rsidRDefault="00D84B55">
            <w:pPr>
              <w:pStyle w:val="ConsPlusNormal"/>
            </w:pPr>
          </w:p>
        </w:tc>
        <w:tc>
          <w:tcPr>
            <w:tcW w:w="2150" w:type="dxa"/>
          </w:tcPr>
          <w:p w:rsidR="00D84B55" w:rsidRDefault="00D84B55">
            <w:pPr>
              <w:pStyle w:val="ConsPlusNormal"/>
            </w:pPr>
          </w:p>
        </w:tc>
      </w:tr>
      <w:tr w:rsidR="00D84B55">
        <w:tc>
          <w:tcPr>
            <w:tcW w:w="1361" w:type="dxa"/>
          </w:tcPr>
          <w:p w:rsidR="00D84B55" w:rsidRDefault="00D84B55">
            <w:pPr>
              <w:pStyle w:val="ConsPlusNormal"/>
              <w:outlineLvl w:val="2"/>
            </w:pPr>
            <w:r>
              <w:t>3.</w:t>
            </w:r>
          </w:p>
        </w:tc>
        <w:tc>
          <w:tcPr>
            <w:tcW w:w="3120" w:type="dxa"/>
            <w:vAlign w:val="bottom"/>
          </w:tcPr>
          <w:p w:rsidR="00D84B55" w:rsidRDefault="00D84B55">
            <w:pPr>
              <w:pStyle w:val="ConsPlusNormal"/>
              <w:jc w:val="both"/>
            </w:pPr>
            <w:r>
              <w:t>Строительство пунктов секционирования</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3.j</w:t>
            </w:r>
          </w:p>
        </w:tc>
        <w:tc>
          <w:tcPr>
            <w:tcW w:w="3120" w:type="dxa"/>
            <w:vAlign w:val="bottom"/>
          </w:tcPr>
          <w:p w:rsidR="00D84B55" w:rsidRDefault="00D84B55">
            <w:pPr>
              <w:pStyle w:val="ConsPlusNormal"/>
              <w:jc w:val="both"/>
            </w:pPr>
            <w:r>
              <w:t>Реклоузеры (j = 1), линейные разъединители (j = 2), выключатели нагрузки, устанавливаемые вне трансформаторных подстанций и распределительных и переключательных пунктов (РП) (j = 3), распределительные пункты (РП), за исключением комплектных распределительных устройств наружной установки (КРН, КРУП) (j = 4), комплектные распределительные устройства наружной установки (КРН, КРУН) (j = 5), переключательные пункты (j = 6)</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3.j.k</w:t>
            </w:r>
          </w:p>
        </w:tc>
        <w:tc>
          <w:tcPr>
            <w:tcW w:w="3120" w:type="dxa"/>
            <w:vAlign w:val="bottom"/>
          </w:tcPr>
          <w:p w:rsidR="00D84B55" w:rsidRDefault="00D84B55">
            <w:pPr>
              <w:pStyle w:val="ConsPlusNormal"/>
              <w:jc w:val="both"/>
            </w:pPr>
            <w:r>
              <w:t>Номинальный ток до 100</w:t>
            </w:r>
            <w:proofErr w:type="gramStart"/>
            <w:r>
              <w:t xml:space="preserve"> А</w:t>
            </w:r>
            <w:proofErr w:type="gramEnd"/>
            <w:r>
              <w:t xml:space="preserve"> включительно (k = 1), от 100 до 250 А включительно (k = 2), от 250 до 500 А включительно (k = 3), от 500 А до 1 000 А включительно (k = 4), свыше 1 000 А (k = 5)</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3.4.k.l</w:t>
            </w:r>
          </w:p>
        </w:tc>
        <w:tc>
          <w:tcPr>
            <w:tcW w:w="3120" w:type="dxa"/>
            <w:vAlign w:val="bottom"/>
          </w:tcPr>
          <w:p w:rsidR="00D84B55" w:rsidRDefault="00D84B55">
            <w:pPr>
              <w:pStyle w:val="ConsPlusNormal"/>
              <w:jc w:val="both"/>
            </w:pPr>
            <w:proofErr w:type="gramStart"/>
            <w:r>
              <w:t>Количество ячеек в распределительном или переключательном пункте (до 5 ячеек включительно (l = 1), от 5 до 10 ячеек включительно (l = 2), от 10 до 15 ячеек включительно (l = 3), свыше 15 ячеек (l = 4)</w:t>
            </w:r>
            <w:proofErr w:type="gramEnd"/>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w:t>
            </w:r>
          </w:p>
        </w:tc>
        <w:tc>
          <w:tcPr>
            <w:tcW w:w="3120" w:type="dxa"/>
            <w:vAlign w:val="bottom"/>
          </w:tcPr>
          <w:p w:rsidR="00D84B55" w:rsidRDefault="00D84B55">
            <w:pPr>
              <w:pStyle w:val="ConsPlusNormal"/>
              <w:jc w:val="both"/>
            </w:pPr>
            <w:r>
              <w:t>&lt;пообъектная расшифровка&gt;</w:t>
            </w:r>
          </w:p>
        </w:tc>
        <w:tc>
          <w:tcPr>
            <w:tcW w:w="1142" w:type="dxa"/>
          </w:tcPr>
          <w:p w:rsidR="00D84B55" w:rsidRDefault="00D84B55">
            <w:pPr>
              <w:pStyle w:val="ConsPlusNormal"/>
            </w:pPr>
          </w:p>
        </w:tc>
        <w:tc>
          <w:tcPr>
            <w:tcW w:w="1642" w:type="dxa"/>
          </w:tcPr>
          <w:p w:rsidR="00D84B55" w:rsidRDefault="00D84B55">
            <w:pPr>
              <w:pStyle w:val="ConsPlusNormal"/>
            </w:pPr>
          </w:p>
        </w:tc>
        <w:tc>
          <w:tcPr>
            <w:tcW w:w="2290" w:type="dxa"/>
          </w:tcPr>
          <w:p w:rsidR="00D84B55" w:rsidRDefault="00D84B55">
            <w:pPr>
              <w:pStyle w:val="ConsPlusNormal"/>
            </w:pPr>
          </w:p>
        </w:tc>
        <w:tc>
          <w:tcPr>
            <w:tcW w:w="2016" w:type="dxa"/>
          </w:tcPr>
          <w:p w:rsidR="00D84B55" w:rsidRDefault="00D84B55">
            <w:pPr>
              <w:pStyle w:val="ConsPlusNormal"/>
            </w:pPr>
          </w:p>
        </w:tc>
        <w:tc>
          <w:tcPr>
            <w:tcW w:w="2150" w:type="dxa"/>
          </w:tcPr>
          <w:p w:rsidR="00D84B55" w:rsidRDefault="00D84B55">
            <w:pPr>
              <w:pStyle w:val="ConsPlusNormal"/>
            </w:pPr>
          </w:p>
        </w:tc>
      </w:tr>
      <w:tr w:rsidR="00D84B55">
        <w:tc>
          <w:tcPr>
            <w:tcW w:w="1361" w:type="dxa"/>
          </w:tcPr>
          <w:p w:rsidR="00D84B55" w:rsidRDefault="00D84B55">
            <w:pPr>
              <w:pStyle w:val="ConsPlusNormal"/>
              <w:outlineLvl w:val="2"/>
            </w:pPr>
            <w:r>
              <w:t>4.</w:t>
            </w:r>
          </w:p>
        </w:tc>
        <w:tc>
          <w:tcPr>
            <w:tcW w:w="3120" w:type="dxa"/>
          </w:tcPr>
          <w:p w:rsidR="00D84B55" w:rsidRDefault="00D84B55">
            <w:pPr>
              <w:pStyle w:val="ConsPlusNormal"/>
              <w:jc w:val="both"/>
            </w:pPr>
            <w:r>
              <w:t>Строительство комплектных трансформаторных подстанций (КТП) с уровнем напряжения до 35 кВ</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4.j</w:t>
            </w:r>
          </w:p>
        </w:tc>
        <w:tc>
          <w:tcPr>
            <w:tcW w:w="3120" w:type="dxa"/>
            <w:vAlign w:val="bottom"/>
          </w:tcPr>
          <w:p w:rsidR="00D84B55" w:rsidRDefault="00D84B55">
            <w:pPr>
              <w:pStyle w:val="ConsPlusNormal"/>
              <w:jc w:val="both"/>
            </w:pPr>
            <w:r>
              <w:t>Трансформаторные подстанции (ТП), за исключением распределительных трансформаторных подстанций (РТП) 6/0,4 кВ (j = 1), 10/0,4 кВ (j = 2), 20/0,4 кВ (j = 3), 6/10 (10/6) кВ (j = 4), 10/20 (20/10) кВ (j = 5), 6/20 (20/6) (j = 6)</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4.j.k</w:t>
            </w:r>
          </w:p>
        </w:tc>
        <w:tc>
          <w:tcPr>
            <w:tcW w:w="3120" w:type="dxa"/>
            <w:vAlign w:val="center"/>
          </w:tcPr>
          <w:p w:rsidR="00D84B55" w:rsidRDefault="00D84B55">
            <w:pPr>
              <w:pStyle w:val="ConsPlusNormal"/>
              <w:jc w:val="both"/>
            </w:pPr>
            <w:r>
              <w:t>Однотрансформаторные (k = 1), двухтрансформаторные и более (k = 2)</w:t>
            </w:r>
          </w:p>
        </w:tc>
        <w:tc>
          <w:tcPr>
            <w:tcW w:w="1142" w:type="dxa"/>
            <w:vAlign w:val="center"/>
          </w:tcPr>
          <w:p w:rsidR="00D84B55" w:rsidRDefault="00D84B55">
            <w:pPr>
              <w:pStyle w:val="ConsPlusNormal"/>
              <w:jc w:val="center"/>
            </w:pPr>
            <w:r>
              <w:t>-</w:t>
            </w:r>
          </w:p>
        </w:tc>
        <w:tc>
          <w:tcPr>
            <w:tcW w:w="1642" w:type="dxa"/>
            <w:vAlign w:val="center"/>
          </w:tcPr>
          <w:p w:rsidR="00D84B55" w:rsidRDefault="00D84B55">
            <w:pPr>
              <w:pStyle w:val="ConsPlusNormal"/>
              <w:jc w:val="center"/>
            </w:pPr>
            <w:r>
              <w:t>-</w:t>
            </w:r>
          </w:p>
        </w:tc>
        <w:tc>
          <w:tcPr>
            <w:tcW w:w="2290" w:type="dxa"/>
            <w:vAlign w:val="center"/>
          </w:tcPr>
          <w:p w:rsidR="00D84B55" w:rsidRDefault="00D84B55">
            <w:pPr>
              <w:pStyle w:val="ConsPlusNormal"/>
              <w:jc w:val="center"/>
            </w:pPr>
            <w:r>
              <w:t>-</w:t>
            </w:r>
          </w:p>
        </w:tc>
        <w:tc>
          <w:tcPr>
            <w:tcW w:w="2016" w:type="dxa"/>
            <w:vAlign w:val="center"/>
          </w:tcPr>
          <w:p w:rsidR="00D84B55" w:rsidRDefault="00D84B55">
            <w:pPr>
              <w:pStyle w:val="ConsPlusNormal"/>
              <w:jc w:val="center"/>
            </w:pPr>
            <w:r>
              <w:t>-</w:t>
            </w:r>
          </w:p>
        </w:tc>
        <w:tc>
          <w:tcPr>
            <w:tcW w:w="2150" w:type="dxa"/>
            <w:vAlign w:val="center"/>
          </w:tcPr>
          <w:p w:rsidR="00D84B55" w:rsidRDefault="00D84B55">
            <w:pPr>
              <w:pStyle w:val="ConsPlusNormal"/>
              <w:jc w:val="center"/>
            </w:pPr>
            <w:r>
              <w:t>-</w:t>
            </w:r>
          </w:p>
        </w:tc>
      </w:tr>
      <w:tr w:rsidR="00D84B55">
        <w:tc>
          <w:tcPr>
            <w:tcW w:w="1361" w:type="dxa"/>
          </w:tcPr>
          <w:p w:rsidR="00D84B55" w:rsidRDefault="00D84B55">
            <w:pPr>
              <w:pStyle w:val="ConsPlusNormal"/>
            </w:pPr>
            <w:r>
              <w:t>4.j.k.l</w:t>
            </w:r>
          </w:p>
        </w:tc>
        <w:tc>
          <w:tcPr>
            <w:tcW w:w="3120" w:type="dxa"/>
            <w:vAlign w:val="bottom"/>
          </w:tcPr>
          <w:p w:rsidR="00D84B55" w:rsidRDefault="00D84B55">
            <w:pPr>
              <w:pStyle w:val="ConsPlusNormal"/>
              <w:jc w:val="both"/>
            </w:pPr>
            <w:proofErr w:type="gramStart"/>
            <w:r>
              <w:t>Трансформаторная мощность до 25 кВА включительно (l = 1), от 25 до 100 кВА включительно (l = 2), от 100 до 250 кВА включительно (l = 3), от 250 до 400 кВА (l = 4), от 400 до 630 кВА включительно (l = 5), от 630 до 1000 кВА включительно (l = 6), от 1000 до 1250 кВА включительно (l = 7), от 1250 кВА до 1600</w:t>
            </w:r>
            <w:proofErr w:type="gramEnd"/>
            <w:r>
              <w:t xml:space="preserve"> кВА включительно (l = 8), от 1600 до 2000 кВА включительно (l = 9), от 2000 до 2500 кВА включительно (l = 10), от 2500 до 3150 кВА включительно (l = 11), от 3150 до 4000 кВА включительно (l = 12), свыше 4000 кВА (l = 13)</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4.j.k.l.m</w:t>
            </w:r>
          </w:p>
        </w:tc>
        <w:tc>
          <w:tcPr>
            <w:tcW w:w="3120" w:type="dxa"/>
            <w:vAlign w:val="center"/>
          </w:tcPr>
          <w:p w:rsidR="00D84B55" w:rsidRDefault="00D84B55">
            <w:pPr>
              <w:pStyle w:val="ConsPlusNormal"/>
              <w:jc w:val="both"/>
            </w:pPr>
            <w:r>
              <w:t>Столбового/мачтового типа (m = 1), шкафного или киоскового типа (m = 2), блочного типа (m = 3), встроенного типа (m = 4)</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w:t>
            </w:r>
          </w:p>
        </w:tc>
        <w:tc>
          <w:tcPr>
            <w:tcW w:w="3120" w:type="dxa"/>
            <w:vAlign w:val="bottom"/>
          </w:tcPr>
          <w:p w:rsidR="00D84B55" w:rsidRDefault="00D84B55">
            <w:pPr>
              <w:pStyle w:val="ConsPlusNormal"/>
              <w:jc w:val="both"/>
            </w:pPr>
            <w:r>
              <w:t>&lt;пообъектная расшифровка&gt;</w:t>
            </w:r>
          </w:p>
        </w:tc>
        <w:tc>
          <w:tcPr>
            <w:tcW w:w="1142" w:type="dxa"/>
          </w:tcPr>
          <w:p w:rsidR="00D84B55" w:rsidRDefault="00D84B55">
            <w:pPr>
              <w:pStyle w:val="ConsPlusNormal"/>
            </w:pPr>
          </w:p>
        </w:tc>
        <w:tc>
          <w:tcPr>
            <w:tcW w:w="1642" w:type="dxa"/>
          </w:tcPr>
          <w:p w:rsidR="00D84B55" w:rsidRDefault="00D84B55">
            <w:pPr>
              <w:pStyle w:val="ConsPlusNormal"/>
            </w:pPr>
          </w:p>
        </w:tc>
        <w:tc>
          <w:tcPr>
            <w:tcW w:w="2290" w:type="dxa"/>
          </w:tcPr>
          <w:p w:rsidR="00D84B55" w:rsidRDefault="00D84B55">
            <w:pPr>
              <w:pStyle w:val="ConsPlusNormal"/>
            </w:pPr>
          </w:p>
        </w:tc>
        <w:tc>
          <w:tcPr>
            <w:tcW w:w="2016" w:type="dxa"/>
          </w:tcPr>
          <w:p w:rsidR="00D84B55" w:rsidRDefault="00D84B55">
            <w:pPr>
              <w:pStyle w:val="ConsPlusNormal"/>
            </w:pPr>
          </w:p>
        </w:tc>
        <w:tc>
          <w:tcPr>
            <w:tcW w:w="2150" w:type="dxa"/>
          </w:tcPr>
          <w:p w:rsidR="00D84B55" w:rsidRDefault="00D84B55">
            <w:pPr>
              <w:pStyle w:val="ConsPlusNormal"/>
            </w:pPr>
          </w:p>
        </w:tc>
      </w:tr>
      <w:tr w:rsidR="00D84B55">
        <w:tc>
          <w:tcPr>
            <w:tcW w:w="1361" w:type="dxa"/>
          </w:tcPr>
          <w:p w:rsidR="00D84B55" w:rsidRDefault="00D84B55">
            <w:pPr>
              <w:pStyle w:val="ConsPlusNormal"/>
              <w:outlineLvl w:val="2"/>
            </w:pPr>
            <w:r>
              <w:t>5.</w:t>
            </w:r>
          </w:p>
        </w:tc>
        <w:tc>
          <w:tcPr>
            <w:tcW w:w="3120" w:type="dxa"/>
            <w:vAlign w:val="bottom"/>
          </w:tcPr>
          <w:p w:rsidR="00D84B55" w:rsidRDefault="00D84B55">
            <w:pPr>
              <w:pStyle w:val="ConsPlusNormal"/>
              <w:jc w:val="both"/>
            </w:pPr>
            <w:r>
              <w:t>Строительство распределительных трансформаторных подстанций (РТП) с уровнем напряжения до 35 кВ</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5.j</w:t>
            </w:r>
          </w:p>
        </w:tc>
        <w:tc>
          <w:tcPr>
            <w:tcW w:w="3120" w:type="dxa"/>
            <w:vAlign w:val="bottom"/>
          </w:tcPr>
          <w:p w:rsidR="00D84B55" w:rsidRDefault="00D84B55">
            <w:pPr>
              <w:pStyle w:val="ConsPlusNormal"/>
              <w:jc w:val="both"/>
            </w:pPr>
            <w:r>
              <w:t>Распределительные трансформаторные подстанции (РТП)</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5.j.k</w:t>
            </w:r>
          </w:p>
        </w:tc>
        <w:tc>
          <w:tcPr>
            <w:tcW w:w="3120" w:type="dxa"/>
            <w:vAlign w:val="bottom"/>
          </w:tcPr>
          <w:p w:rsidR="00D84B55" w:rsidRDefault="00D84B55">
            <w:pPr>
              <w:pStyle w:val="ConsPlusNormal"/>
              <w:jc w:val="both"/>
            </w:pPr>
            <w:r>
              <w:t>Однотрансформаторные (k = 1), двухтрансформаторные и более (k = 2)</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5.j.k.l</w:t>
            </w:r>
          </w:p>
        </w:tc>
        <w:tc>
          <w:tcPr>
            <w:tcW w:w="3120" w:type="dxa"/>
            <w:vAlign w:val="bottom"/>
          </w:tcPr>
          <w:p w:rsidR="00D84B55" w:rsidRDefault="00D84B55">
            <w:pPr>
              <w:pStyle w:val="ConsPlusNormal"/>
              <w:jc w:val="both"/>
            </w:pPr>
            <w:proofErr w:type="gramStart"/>
            <w:r>
              <w:t>Трансформаторная мощность до 25 кВА включительно (l = 1), от 25 до 100 кВА включительно (l = 2), от 100 до 250 кВА включительно (l = 3), от 250 до 400 кВА (l = 4), от 400 до 630 кВА включительно (l = 5), от 630 до 1000 кВА включительно (l = 6), от 1000 до 1250 кВА включительно (l = 7), от 1250 кВА до 1600</w:t>
            </w:r>
            <w:proofErr w:type="gramEnd"/>
            <w:r>
              <w:t xml:space="preserve"> кВА включительно (l = 8), от 1600 до 2000 кВА включительно (l = 9), от 2000 до 2500 кВА включительно (l = 10), от 2500 до 3150 кВА включительно (l = 11), свыше 3150 кВА (l = 12)</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5.j.k.l.m</w:t>
            </w:r>
          </w:p>
        </w:tc>
        <w:tc>
          <w:tcPr>
            <w:tcW w:w="3120" w:type="dxa"/>
            <w:vAlign w:val="bottom"/>
          </w:tcPr>
          <w:p w:rsidR="00D84B55" w:rsidRDefault="00D84B55">
            <w:pPr>
              <w:pStyle w:val="ConsPlusNormal"/>
              <w:jc w:val="both"/>
            </w:pPr>
            <w:r>
              <w:t>Открытого типа (m = 1), закрытого типа (m = 2)</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vAlign w:val="center"/>
          </w:tcPr>
          <w:p w:rsidR="00D84B55" w:rsidRDefault="00D84B55">
            <w:pPr>
              <w:pStyle w:val="ConsPlusNormal"/>
            </w:pPr>
            <w:r>
              <w:t>...</w:t>
            </w:r>
          </w:p>
        </w:tc>
        <w:tc>
          <w:tcPr>
            <w:tcW w:w="3120" w:type="dxa"/>
            <w:vAlign w:val="bottom"/>
          </w:tcPr>
          <w:p w:rsidR="00D84B55" w:rsidRDefault="00D84B55">
            <w:pPr>
              <w:pStyle w:val="ConsPlusNormal"/>
              <w:jc w:val="both"/>
            </w:pPr>
            <w:r>
              <w:t>&lt;пообъектная расшифровка&gt;</w:t>
            </w:r>
          </w:p>
        </w:tc>
        <w:tc>
          <w:tcPr>
            <w:tcW w:w="1142" w:type="dxa"/>
          </w:tcPr>
          <w:p w:rsidR="00D84B55" w:rsidRDefault="00D84B55">
            <w:pPr>
              <w:pStyle w:val="ConsPlusNormal"/>
            </w:pPr>
          </w:p>
        </w:tc>
        <w:tc>
          <w:tcPr>
            <w:tcW w:w="1642" w:type="dxa"/>
          </w:tcPr>
          <w:p w:rsidR="00D84B55" w:rsidRDefault="00D84B55">
            <w:pPr>
              <w:pStyle w:val="ConsPlusNormal"/>
            </w:pPr>
          </w:p>
        </w:tc>
        <w:tc>
          <w:tcPr>
            <w:tcW w:w="2290" w:type="dxa"/>
          </w:tcPr>
          <w:p w:rsidR="00D84B55" w:rsidRDefault="00D84B55">
            <w:pPr>
              <w:pStyle w:val="ConsPlusNormal"/>
            </w:pPr>
          </w:p>
        </w:tc>
        <w:tc>
          <w:tcPr>
            <w:tcW w:w="2016" w:type="dxa"/>
          </w:tcPr>
          <w:p w:rsidR="00D84B55" w:rsidRDefault="00D84B55">
            <w:pPr>
              <w:pStyle w:val="ConsPlusNormal"/>
            </w:pPr>
          </w:p>
        </w:tc>
        <w:tc>
          <w:tcPr>
            <w:tcW w:w="2150" w:type="dxa"/>
          </w:tcPr>
          <w:p w:rsidR="00D84B55" w:rsidRDefault="00D84B55">
            <w:pPr>
              <w:pStyle w:val="ConsPlusNormal"/>
            </w:pPr>
          </w:p>
        </w:tc>
      </w:tr>
      <w:tr w:rsidR="00D84B55">
        <w:tc>
          <w:tcPr>
            <w:tcW w:w="1361" w:type="dxa"/>
          </w:tcPr>
          <w:p w:rsidR="00D84B55" w:rsidRDefault="00D84B55">
            <w:pPr>
              <w:pStyle w:val="ConsPlusNormal"/>
              <w:outlineLvl w:val="2"/>
            </w:pPr>
            <w:r>
              <w:t>6.</w:t>
            </w:r>
          </w:p>
        </w:tc>
        <w:tc>
          <w:tcPr>
            <w:tcW w:w="3120" w:type="dxa"/>
            <w:vAlign w:val="bottom"/>
          </w:tcPr>
          <w:p w:rsidR="00D84B55" w:rsidRDefault="00D84B55">
            <w:pPr>
              <w:pStyle w:val="ConsPlusNormal"/>
              <w:jc w:val="both"/>
            </w:pPr>
            <w:r>
              <w:t>Строительство центров питания, подстанций уровнем напряжения 35 кВ и выше (ПС)</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6.j</w:t>
            </w:r>
          </w:p>
        </w:tc>
        <w:tc>
          <w:tcPr>
            <w:tcW w:w="3120" w:type="dxa"/>
            <w:vAlign w:val="bottom"/>
          </w:tcPr>
          <w:p w:rsidR="00D84B55" w:rsidRDefault="00D84B55">
            <w:pPr>
              <w:pStyle w:val="ConsPlusNormal"/>
              <w:jc w:val="both"/>
            </w:pPr>
            <w:r>
              <w:t>Однотрансформаторные (j = 1), двухтрансформаторные и более (j = 2)</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6.j.k</w:t>
            </w:r>
          </w:p>
        </w:tc>
        <w:tc>
          <w:tcPr>
            <w:tcW w:w="3120" w:type="dxa"/>
            <w:vAlign w:val="bottom"/>
          </w:tcPr>
          <w:p w:rsidR="00D84B55" w:rsidRDefault="00D84B55">
            <w:pPr>
              <w:pStyle w:val="ConsPlusNormal"/>
              <w:jc w:val="both"/>
            </w:pPr>
            <w:proofErr w:type="gramStart"/>
            <w:r>
              <w:t>Трансформаторная мощность до 6,3 МВА включительно (k = 1), от 6,3 до 10 МВА включительно (k = 2), от 10 до 16 МВА включительно (k = 3), от 16 до 25 МВА включительно (k = 4), от 25 до 32 МВА включительно (k = 5), от 32 до 40 МВА включительно (k = 6), от 40 до 63 МВА включительно (k = 7), от 63 до 80</w:t>
            </w:r>
            <w:proofErr w:type="gramEnd"/>
            <w:r>
              <w:t xml:space="preserve"> МВА включительно (k = 8), от 80 до 100 МВА включительно (k = 9), свыше 100 МВА (k = 10)</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6.j.k.l</w:t>
            </w:r>
          </w:p>
        </w:tc>
        <w:tc>
          <w:tcPr>
            <w:tcW w:w="3120" w:type="dxa"/>
            <w:vAlign w:val="bottom"/>
          </w:tcPr>
          <w:p w:rsidR="00D84B55" w:rsidRDefault="00D84B55">
            <w:pPr>
              <w:pStyle w:val="ConsPlusNormal"/>
              <w:jc w:val="both"/>
            </w:pPr>
            <w:r>
              <w:t>Открытого типа (l = 1), закрытого типа (l = 2)</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w:t>
            </w:r>
          </w:p>
        </w:tc>
        <w:tc>
          <w:tcPr>
            <w:tcW w:w="3120" w:type="dxa"/>
            <w:vAlign w:val="bottom"/>
          </w:tcPr>
          <w:p w:rsidR="00D84B55" w:rsidRDefault="00D84B55">
            <w:pPr>
              <w:pStyle w:val="ConsPlusNormal"/>
              <w:jc w:val="both"/>
            </w:pPr>
            <w:r>
              <w:t>&lt;пообъектная расшифровка&gt;</w:t>
            </w:r>
          </w:p>
        </w:tc>
        <w:tc>
          <w:tcPr>
            <w:tcW w:w="1142" w:type="dxa"/>
          </w:tcPr>
          <w:p w:rsidR="00D84B55" w:rsidRDefault="00D84B55">
            <w:pPr>
              <w:pStyle w:val="ConsPlusNormal"/>
            </w:pPr>
          </w:p>
        </w:tc>
        <w:tc>
          <w:tcPr>
            <w:tcW w:w="1642" w:type="dxa"/>
          </w:tcPr>
          <w:p w:rsidR="00D84B55" w:rsidRDefault="00D84B55">
            <w:pPr>
              <w:pStyle w:val="ConsPlusNormal"/>
            </w:pPr>
          </w:p>
        </w:tc>
        <w:tc>
          <w:tcPr>
            <w:tcW w:w="2290" w:type="dxa"/>
          </w:tcPr>
          <w:p w:rsidR="00D84B55" w:rsidRDefault="00D84B55">
            <w:pPr>
              <w:pStyle w:val="ConsPlusNormal"/>
            </w:pPr>
          </w:p>
        </w:tc>
        <w:tc>
          <w:tcPr>
            <w:tcW w:w="2016" w:type="dxa"/>
          </w:tcPr>
          <w:p w:rsidR="00D84B55" w:rsidRDefault="00D84B55">
            <w:pPr>
              <w:pStyle w:val="ConsPlusNormal"/>
            </w:pPr>
          </w:p>
        </w:tc>
        <w:tc>
          <w:tcPr>
            <w:tcW w:w="2150" w:type="dxa"/>
          </w:tcPr>
          <w:p w:rsidR="00D84B55" w:rsidRDefault="00D84B55">
            <w:pPr>
              <w:pStyle w:val="ConsPlusNormal"/>
            </w:pPr>
          </w:p>
        </w:tc>
      </w:tr>
      <w:tr w:rsidR="00D84B55">
        <w:tc>
          <w:tcPr>
            <w:tcW w:w="1361" w:type="dxa"/>
          </w:tcPr>
          <w:p w:rsidR="00D84B55" w:rsidRDefault="00D84B55">
            <w:pPr>
              <w:pStyle w:val="ConsPlusNormal"/>
              <w:outlineLvl w:val="2"/>
            </w:pPr>
            <w:r>
              <w:t>7.</w:t>
            </w:r>
          </w:p>
        </w:tc>
        <w:tc>
          <w:tcPr>
            <w:tcW w:w="3120" w:type="dxa"/>
            <w:vAlign w:val="bottom"/>
          </w:tcPr>
          <w:p w:rsidR="00D84B55" w:rsidRDefault="00D84B55">
            <w:pPr>
              <w:pStyle w:val="ConsPlusNormal"/>
              <w:jc w:val="both"/>
            </w:pPr>
            <w:r>
              <w:t>Обеспечение средствами коммерческого учета электрической энергии (мощности)</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7.j</w:t>
            </w:r>
          </w:p>
        </w:tc>
        <w:tc>
          <w:tcPr>
            <w:tcW w:w="3120" w:type="dxa"/>
            <w:vAlign w:val="bottom"/>
          </w:tcPr>
          <w:p w:rsidR="00D84B55" w:rsidRDefault="00D84B55">
            <w:pPr>
              <w:pStyle w:val="ConsPlusNormal"/>
              <w:jc w:val="both"/>
            </w:pPr>
            <w:r>
              <w:t>Однофазный (j = 1), трехфазный (j = 2)</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7.j.k</w:t>
            </w:r>
          </w:p>
        </w:tc>
        <w:tc>
          <w:tcPr>
            <w:tcW w:w="3120" w:type="dxa"/>
            <w:vAlign w:val="bottom"/>
          </w:tcPr>
          <w:p w:rsidR="00D84B55" w:rsidRDefault="00D84B55">
            <w:pPr>
              <w:pStyle w:val="ConsPlusNormal"/>
              <w:jc w:val="both"/>
            </w:pPr>
            <w:r>
              <w:t>Прямого включения (k = 1), полукосвенного включения (k = 2), косвенного включения (k = 3)</w:t>
            </w:r>
          </w:p>
        </w:tc>
        <w:tc>
          <w:tcPr>
            <w:tcW w:w="1142" w:type="dxa"/>
          </w:tcPr>
          <w:p w:rsidR="00D84B55" w:rsidRDefault="00D84B55">
            <w:pPr>
              <w:pStyle w:val="ConsPlusNormal"/>
              <w:jc w:val="center"/>
            </w:pPr>
            <w:r>
              <w:t>-</w:t>
            </w:r>
          </w:p>
        </w:tc>
        <w:tc>
          <w:tcPr>
            <w:tcW w:w="1642" w:type="dxa"/>
          </w:tcPr>
          <w:p w:rsidR="00D84B55" w:rsidRDefault="00D84B55">
            <w:pPr>
              <w:pStyle w:val="ConsPlusNormal"/>
              <w:jc w:val="center"/>
            </w:pPr>
            <w:r>
              <w:t>-</w:t>
            </w:r>
          </w:p>
        </w:tc>
        <w:tc>
          <w:tcPr>
            <w:tcW w:w="2290" w:type="dxa"/>
          </w:tcPr>
          <w:p w:rsidR="00D84B55" w:rsidRDefault="00D84B55">
            <w:pPr>
              <w:pStyle w:val="ConsPlusNormal"/>
              <w:jc w:val="center"/>
            </w:pPr>
            <w:r>
              <w:t>-</w:t>
            </w:r>
          </w:p>
        </w:tc>
        <w:tc>
          <w:tcPr>
            <w:tcW w:w="2016" w:type="dxa"/>
          </w:tcPr>
          <w:p w:rsidR="00D84B55" w:rsidRDefault="00D84B55">
            <w:pPr>
              <w:pStyle w:val="ConsPlusNormal"/>
              <w:jc w:val="center"/>
            </w:pPr>
            <w:r>
              <w:t>-</w:t>
            </w:r>
          </w:p>
        </w:tc>
        <w:tc>
          <w:tcPr>
            <w:tcW w:w="2150" w:type="dxa"/>
          </w:tcPr>
          <w:p w:rsidR="00D84B55" w:rsidRDefault="00D84B55">
            <w:pPr>
              <w:pStyle w:val="ConsPlusNormal"/>
              <w:jc w:val="center"/>
            </w:pPr>
            <w:r>
              <w:t>-</w:t>
            </w:r>
          </w:p>
        </w:tc>
      </w:tr>
      <w:tr w:rsidR="00D84B55">
        <w:tc>
          <w:tcPr>
            <w:tcW w:w="1361" w:type="dxa"/>
          </w:tcPr>
          <w:p w:rsidR="00D84B55" w:rsidRDefault="00D84B55">
            <w:pPr>
              <w:pStyle w:val="ConsPlusNormal"/>
            </w:pPr>
            <w:r>
              <w:t>...</w:t>
            </w:r>
          </w:p>
        </w:tc>
        <w:tc>
          <w:tcPr>
            <w:tcW w:w="3120" w:type="dxa"/>
            <w:vAlign w:val="bottom"/>
          </w:tcPr>
          <w:p w:rsidR="00D84B55" w:rsidRDefault="00D84B55">
            <w:pPr>
              <w:pStyle w:val="ConsPlusNormal"/>
              <w:jc w:val="both"/>
            </w:pPr>
            <w:r>
              <w:t>&lt;пообъектная расшифровка&gt;</w:t>
            </w:r>
          </w:p>
        </w:tc>
        <w:tc>
          <w:tcPr>
            <w:tcW w:w="1142" w:type="dxa"/>
          </w:tcPr>
          <w:p w:rsidR="00D84B55" w:rsidRDefault="00D84B55">
            <w:pPr>
              <w:pStyle w:val="ConsPlusNormal"/>
            </w:pPr>
          </w:p>
        </w:tc>
        <w:tc>
          <w:tcPr>
            <w:tcW w:w="1642" w:type="dxa"/>
          </w:tcPr>
          <w:p w:rsidR="00D84B55" w:rsidRDefault="00D84B55">
            <w:pPr>
              <w:pStyle w:val="ConsPlusNormal"/>
            </w:pPr>
          </w:p>
        </w:tc>
        <w:tc>
          <w:tcPr>
            <w:tcW w:w="2290" w:type="dxa"/>
          </w:tcPr>
          <w:p w:rsidR="00D84B55" w:rsidRDefault="00D84B55">
            <w:pPr>
              <w:pStyle w:val="ConsPlusNormal"/>
            </w:pPr>
          </w:p>
        </w:tc>
        <w:tc>
          <w:tcPr>
            <w:tcW w:w="2016" w:type="dxa"/>
          </w:tcPr>
          <w:p w:rsidR="00D84B55" w:rsidRDefault="00D84B55">
            <w:pPr>
              <w:pStyle w:val="ConsPlusNormal"/>
            </w:pPr>
          </w:p>
        </w:tc>
        <w:tc>
          <w:tcPr>
            <w:tcW w:w="2150" w:type="dxa"/>
          </w:tcPr>
          <w:p w:rsidR="00D84B55" w:rsidRDefault="00D84B55">
            <w:pPr>
              <w:pStyle w:val="ConsPlusNormal"/>
            </w:pPr>
          </w:p>
        </w:tc>
      </w:tr>
    </w:tbl>
    <w:p w:rsidR="00D84B55" w:rsidRDefault="00D84B55">
      <w:pPr>
        <w:pStyle w:val="ConsPlusNormal"/>
        <w:sectPr w:rsidR="00D84B55">
          <w:pgSz w:w="16838" w:h="11905" w:orient="landscape"/>
          <w:pgMar w:top="1701" w:right="1134" w:bottom="850" w:left="1134" w:header="0" w:footer="0" w:gutter="0"/>
          <w:cols w:space="720"/>
          <w:titlePg/>
        </w:sectPr>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right"/>
        <w:outlineLvl w:val="1"/>
      </w:pPr>
      <w:r>
        <w:t>Приложение N 2</w:t>
      </w:r>
    </w:p>
    <w:p w:rsidR="00D84B55" w:rsidRDefault="00D84B55">
      <w:pPr>
        <w:pStyle w:val="ConsPlusNormal"/>
        <w:jc w:val="right"/>
      </w:pPr>
      <w:r>
        <w:t>к Методическим указаниям</w:t>
      </w:r>
    </w:p>
    <w:p w:rsidR="00D84B55" w:rsidRDefault="00D84B55">
      <w:pPr>
        <w:pStyle w:val="ConsPlusNormal"/>
        <w:jc w:val="right"/>
      </w:pPr>
      <w:r>
        <w:t>по определению размера платы</w:t>
      </w:r>
    </w:p>
    <w:p w:rsidR="00D84B55" w:rsidRDefault="00D84B55">
      <w:pPr>
        <w:pStyle w:val="ConsPlusNormal"/>
        <w:jc w:val="right"/>
      </w:pPr>
      <w:r>
        <w:t>за технологическое присоединение</w:t>
      </w:r>
    </w:p>
    <w:p w:rsidR="00D84B55" w:rsidRDefault="00D84B55">
      <w:pPr>
        <w:pStyle w:val="ConsPlusNormal"/>
        <w:jc w:val="right"/>
      </w:pPr>
      <w:r>
        <w:t>к электрическим сетям</w:t>
      </w:r>
    </w:p>
    <w:p w:rsidR="00D84B55" w:rsidRDefault="00D84B55">
      <w:pPr>
        <w:pStyle w:val="ConsPlusNormal"/>
        <w:jc w:val="both"/>
      </w:pPr>
    </w:p>
    <w:p w:rsidR="00D84B55" w:rsidRDefault="00D84B55">
      <w:pPr>
        <w:pStyle w:val="ConsPlusNormal"/>
        <w:jc w:val="right"/>
      </w:pPr>
      <w:r>
        <w:t>(рекомендуемый образец)</w:t>
      </w:r>
    </w:p>
    <w:p w:rsidR="00D84B55" w:rsidRDefault="00D84B55">
      <w:pPr>
        <w:pStyle w:val="ConsPlusNormal"/>
        <w:jc w:val="both"/>
      </w:pPr>
    </w:p>
    <w:p w:rsidR="00D84B55" w:rsidRDefault="00D84B55">
      <w:pPr>
        <w:pStyle w:val="ConsPlusNormal"/>
        <w:jc w:val="center"/>
      </w:pPr>
      <w:bookmarkStart w:id="24" w:name="P732"/>
      <w:bookmarkEnd w:id="24"/>
      <w:r>
        <w:t>Расходы</w:t>
      </w:r>
    </w:p>
    <w:p w:rsidR="00D84B55" w:rsidRDefault="00D84B55">
      <w:pPr>
        <w:pStyle w:val="ConsPlusNormal"/>
        <w:jc w:val="center"/>
      </w:pPr>
      <w:r>
        <w:t>на выполнение мероприятий по технологическому присоединению,</w:t>
      </w:r>
    </w:p>
    <w:p w:rsidR="00D84B55" w:rsidRDefault="00D84B55">
      <w:pPr>
        <w:pStyle w:val="ConsPlusNormal"/>
        <w:jc w:val="center"/>
      </w:pPr>
      <w:r>
        <w:t xml:space="preserve">предусмотренных </w:t>
      </w:r>
      <w:hyperlink w:anchor="P89">
        <w:r>
          <w:rPr>
            <w:color w:val="0000FF"/>
          </w:rPr>
          <w:t>подпунктами "а"</w:t>
        </w:r>
      </w:hyperlink>
      <w:r>
        <w:t xml:space="preserve"> и </w:t>
      </w:r>
      <w:hyperlink w:anchor="P91">
        <w:r>
          <w:rPr>
            <w:color w:val="0000FF"/>
          </w:rPr>
          <w:t>"в" пункта 16</w:t>
        </w:r>
      </w:hyperlink>
      <w:r>
        <w:t xml:space="preserve"> Методических</w:t>
      </w:r>
    </w:p>
    <w:p w:rsidR="00D84B55" w:rsidRDefault="00D84B55">
      <w:pPr>
        <w:pStyle w:val="ConsPlusNormal"/>
        <w:jc w:val="center"/>
      </w:pPr>
      <w:r>
        <w:t xml:space="preserve">указаний по определению размера платы за </w:t>
      </w:r>
      <w:proofErr w:type="gramStart"/>
      <w:r>
        <w:t>технологическое</w:t>
      </w:r>
      <w:proofErr w:type="gramEnd"/>
    </w:p>
    <w:p w:rsidR="00D84B55" w:rsidRDefault="00D84B55">
      <w:pPr>
        <w:pStyle w:val="ConsPlusNormal"/>
        <w:jc w:val="center"/>
      </w:pPr>
      <w:r>
        <w:t>присоединение к электрическим сетям, за ____ год</w:t>
      </w:r>
    </w:p>
    <w:p w:rsidR="00D84B55" w:rsidRDefault="00D84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4422"/>
        <w:gridCol w:w="1587"/>
        <w:gridCol w:w="1701"/>
        <w:gridCol w:w="1871"/>
        <w:gridCol w:w="1928"/>
      </w:tblGrid>
      <w:tr w:rsidR="00D84B55">
        <w:tc>
          <w:tcPr>
            <w:tcW w:w="686" w:type="dxa"/>
            <w:vMerge w:val="restart"/>
          </w:tcPr>
          <w:p w:rsidR="00D84B55" w:rsidRDefault="00D84B55">
            <w:pPr>
              <w:pStyle w:val="ConsPlusNormal"/>
              <w:jc w:val="center"/>
            </w:pPr>
            <w:r>
              <w:t xml:space="preserve">N </w:t>
            </w:r>
            <w:proofErr w:type="gramStart"/>
            <w:r>
              <w:t>п</w:t>
            </w:r>
            <w:proofErr w:type="gramEnd"/>
            <w:r>
              <w:t>/п</w:t>
            </w:r>
          </w:p>
        </w:tc>
        <w:tc>
          <w:tcPr>
            <w:tcW w:w="4422" w:type="dxa"/>
            <w:vMerge w:val="restart"/>
          </w:tcPr>
          <w:p w:rsidR="00D84B55" w:rsidRDefault="00D84B55">
            <w:pPr>
              <w:pStyle w:val="ConsPlusNormal"/>
              <w:jc w:val="center"/>
            </w:pPr>
            <w:r>
              <w:t>Наименование мероприятий</w:t>
            </w:r>
          </w:p>
        </w:tc>
        <w:tc>
          <w:tcPr>
            <w:tcW w:w="5159" w:type="dxa"/>
            <w:gridSpan w:val="3"/>
          </w:tcPr>
          <w:p w:rsidR="00D84B55" w:rsidRDefault="00D84B55">
            <w:pPr>
              <w:pStyle w:val="ConsPlusNormal"/>
              <w:jc w:val="center"/>
            </w:pPr>
            <w:r>
              <w:t>Информация для расчета стандартизированной тарифной ставки С</w:t>
            </w:r>
            <w:proofErr w:type="gramStart"/>
            <w:r>
              <w:rPr>
                <w:vertAlign w:val="subscript"/>
              </w:rPr>
              <w:t>1</w:t>
            </w:r>
            <w:proofErr w:type="gramEnd"/>
          </w:p>
        </w:tc>
        <w:tc>
          <w:tcPr>
            <w:tcW w:w="1928" w:type="dxa"/>
          </w:tcPr>
          <w:p w:rsidR="00D84B55" w:rsidRDefault="00D84B55">
            <w:pPr>
              <w:pStyle w:val="ConsPlusNormal"/>
            </w:pPr>
          </w:p>
        </w:tc>
      </w:tr>
      <w:tr w:rsidR="00D84B55">
        <w:tc>
          <w:tcPr>
            <w:tcW w:w="686" w:type="dxa"/>
            <w:vMerge/>
          </w:tcPr>
          <w:p w:rsidR="00D84B55" w:rsidRDefault="00D84B55">
            <w:pPr>
              <w:pStyle w:val="ConsPlusNormal"/>
            </w:pPr>
          </w:p>
        </w:tc>
        <w:tc>
          <w:tcPr>
            <w:tcW w:w="4422" w:type="dxa"/>
            <w:vMerge/>
          </w:tcPr>
          <w:p w:rsidR="00D84B55" w:rsidRDefault="00D84B55">
            <w:pPr>
              <w:pStyle w:val="ConsPlusNormal"/>
            </w:pPr>
          </w:p>
        </w:tc>
        <w:tc>
          <w:tcPr>
            <w:tcW w:w="1587" w:type="dxa"/>
          </w:tcPr>
          <w:p w:rsidR="00D84B55" w:rsidRDefault="00D84B55">
            <w:pPr>
              <w:pStyle w:val="ConsPlusNormal"/>
              <w:jc w:val="center"/>
            </w:pPr>
            <w:r>
              <w:t>Расходы по каждому мероприятию (руб.)</w:t>
            </w:r>
          </w:p>
        </w:tc>
        <w:tc>
          <w:tcPr>
            <w:tcW w:w="1701" w:type="dxa"/>
          </w:tcPr>
          <w:p w:rsidR="00D84B55" w:rsidRDefault="00D84B55">
            <w:pPr>
              <w:pStyle w:val="ConsPlusNormal"/>
              <w:jc w:val="center"/>
            </w:pPr>
            <w:r>
              <w:t>Количество технологических присоединений (шт.)</w:t>
            </w:r>
          </w:p>
        </w:tc>
        <w:tc>
          <w:tcPr>
            <w:tcW w:w="1871" w:type="dxa"/>
          </w:tcPr>
          <w:p w:rsidR="00D84B55" w:rsidRDefault="00D84B55">
            <w:pPr>
              <w:pStyle w:val="ConsPlusNormal"/>
              <w:jc w:val="center"/>
            </w:pPr>
            <w:r>
              <w:t>Объем максимальной мощности (кВт)</w:t>
            </w:r>
          </w:p>
        </w:tc>
        <w:tc>
          <w:tcPr>
            <w:tcW w:w="1928" w:type="dxa"/>
          </w:tcPr>
          <w:p w:rsidR="00D84B55" w:rsidRDefault="00D84B55">
            <w:pPr>
              <w:pStyle w:val="ConsPlusNormal"/>
              <w:jc w:val="center"/>
            </w:pPr>
            <w:r>
              <w:t>Расходы на одно присоединение (руб. на одно ТП)</w:t>
            </w:r>
          </w:p>
        </w:tc>
      </w:tr>
      <w:tr w:rsidR="00D84B55">
        <w:tc>
          <w:tcPr>
            <w:tcW w:w="686" w:type="dxa"/>
          </w:tcPr>
          <w:p w:rsidR="00D84B55" w:rsidRDefault="00D84B55">
            <w:pPr>
              <w:pStyle w:val="ConsPlusNormal"/>
              <w:jc w:val="center"/>
            </w:pPr>
            <w:r>
              <w:t>1</w:t>
            </w:r>
          </w:p>
        </w:tc>
        <w:tc>
          <w:tcPr>
            <w:tcW w:w="4422" w:type="dxa"/>
          </w:tcPr>
          <w:p w:rsidR="00D84B55" w:rsidRDefault="00D84B55">
            <w:pPr>
              <w:pStyle w:val="ConsPlusNormal"/>
              <w:jc w:val="center"/>
            </w:pPr>
            <w:r>
              <w:t>2</w:t>
            </w:r>
          </w:p>
        </w:tc>
        <w:tc>
          <w:tcPr>
            <w:tcW w:w="1587" w:type="dxa"/>
          </w:tcPr>
          <w:p w:rsidR="00D84B55" w:rsidRDefault="00D84B55">
            <w:pPr>
              <w:pStyle w:val="ConsPlusNormal"/>
              <w:jc w:val="center"/>
            </w:pPr>
            <w:r>
              <w:t>3</w:t>
            </w:r>
          </w:p>
        </w:tc>
        <w:tc>
          <w:tcPr>
            <w:tcW w:w="1701" w:type="dxa"/>
          </w:tcPr>
          <w:p w:rsidR="00D84B55" w:rsidRDefault="00D84B55">
            <w:pPr>
              <w:pStyle w:val="ConsPlusNormal"/>
              <w:jc w:val="center"/>
            </w:pPr>
            <w:r>
              <w:t>4</w:t>
            </w:r>
          </w:p>
        </w:tc>
        <w:tc>
          <w:tcPr>
            <w:tcW w:w="1871" w:type="dxa"/>
          </w:tcPr>
          <w:p w:rsidR="00D84B55" w:rsidRDefault="00D84B55">
            <w:pPr>
              <w:pStyle w:val="ConsPlusNormal"/>
              <w:jc w:val="center"/>
            </w:pPr>
            <w:r>
              <w:t>5</w:t>
            </w:r>
          </w:p>
        </w:tc>
        <w:tc>
          <w:tcPr>
            <w:tcW w:w="1928" w:type="dxa"/>
          </w:tcPr>
          <w:p w:rsidR="00D84B55" w:rsidRDefault="00D84B55">
            <w:pPr>
              <w:pStyle w:val="ConsPlusNormal"/>
              <w:jc w:val="center"/>
            </w:pPr>
            <w:r>
              <w:t>6</w:t>
            </w:r>
          </w:p>
        </w:tc>
      </w:tr>
      <w:tr w:rsidR="00D84B55">
        <w:tc>
          <w:tcPr>
            <w:tcW w:w="686" w:type="dxa"/>
          </w:tcPr>
          <w:p w:rsidR="00D84B55" w:rsidRDefault="00D84B55">
            <w:pPr>
              <w:pStyle w:val="ConsPlusNormal"/>
              <w:jc w:val="center"/>
            </w:pPr>
            <w:r>
              <w:t>1.</w:t>
            </w:r>
          </w:p>
        </w:tc>
        <w:tc>
          <w:tcPr>
            <w:tcW w:w="4422" w:type="dxa"/>
          </w:tcPr>
          <w:p w:rsidR="00D84B55" w:rsidRDefault="00D84B55">
            <w:pPr>
              <w:pStyle w:val="ConsPlusNormal"/>
            </w:pPr>
            <w:r>
              <w:t>Подготовка и выдача сетевой организацией технических условий Заявителю</w:t>
            </w:r>
          </w:p>
        </w:tc>
        <w:tc>
          <w:tcPr>
            <w:tcW w:w="1587" w:type="dxa"/>
          </w:tcPr>
          <w:p w:rsidR="00D84B55" w:rsidRDefault="00D84B55">
            <w:pPr>
              <w:pStyle w:val="ConsPlusNormal"/>
            </w:pPr>
          </w:p>
        </w:tc>
        <w:tc>
          <w:tcPr>
            <w:tcW w:w="1701" w:type="dxa"/>
          </w:tcPr>
          <w:p w:rsidR="00D84B55" w:rsidRDefault="00D84B55">
            <w:pPr>
              <w:pStyle w:val="ConsPlusNormal"/>
            </w:pPr>
          </w:p>
        </w:tc>
        <w:tc>
          <w:tcPr>
            <w:tcW w:w="1871" w:type="dxa"/>
          </w:tcPr>
          <w:p w:rsidR="00D84B55" w:rsidRDefault="00D84B55">
            <w:pPr>
              <w:pStyle w:val="ConsPlusNormal"/>
            </w:pPr>
          </w:p>
        </w:tc>
        <w:tc>
          <w:tcPr>
            <w:tcW w:w="1928" w:type="dxa"/>
          </w:tcPr>
          <w:p w:rsidR="00D84B55" w:rsidRDefault="00D84B55">
            <w:pPr>
              <w:pStyle w:val="ConsPlusNormal"/>
            </w:pPr>
          </w:p>
        </w:tc>
      </w:tr>
      <w:tr w:rsidR="00D84B55">
        <w:tc>
          <w:tcPr>
            <w:tcW w:w="686" w:type="dxa"/>
          </w:tcPr>
          <w:p w:rsidR="00D84B55" w:rsidRDefault="00D84B55">
            <w:pPr>
              <w:pStyle w:val="ConsPlusNormal"/>
              <w:jc w:val="center"/>
            </w:pPr>
            <w:r>
              <w:t>2.</w:t>
            </w:r>
          </w:p>
        </w:tc>
        <w:tc>
          <w:tcPr>
            <w:tcW w:w="4422" w:type="dxa"/>
          </w:tcPr>
          <w:p w:rsidR="00D84B55" w:rsidRDefault="00D84B55">
            <w:pPr>
              <w:pStyle w:val="ConsPlusNormal"/>
            </w:pPr>
            <w:r>
              <w:t>Проверка сетевой организацией выполнения технических условий Заявителем</w:t>
            </w:r>
          </w:p>
        </w:tc>
        <w:tc>
          <w:tcPr>
            <w:tcW w:w="1587" w:type="dxa"/>
          </w:tcPr>
          <w:p w:rsidR="00D84B55" w:rsidRDefault="00D84B55">
            <w:pPr>
              <w:pStyle w:val="ConsPlusNormal"/>
            </w:pPr>
            <w:r>
              <w:t>-</w:t>
            </w:r>
          </w:p>
        </w:tc>
        <w:tc>
          <w:tcPr>
            <w:tcW w:w="1701" w:type="dxa"/>
          </w:tcPr>
          <w:p w:rsidR="00D84B55" w:rsidRDefault="00D84B55">
            <w:pPr>
              <w:pStyle w:val="ConsPlusNormal"/>
            </w:pPr>
            <w:r>
              <w:t>-</w:t>
            </w:r>
          </w:p>
        </w:tc>
        <w:tc>
          <w:tcPr>
            <w:tcW w:w="1871" w:type="dxa"/>
          </w:tcPr>
          <w:p w:rsidR="00D84B55" w:rsidRDefault="00D84B55">
            <w:pPr>
              <w:pStyle w:val="ConsPlusNormal"/>
            </w:pPr>
            <w:r>
              <w:t>-</w:t>
            </w:r>
          </w:p>
        </w:tc>
        <w:tc>
          <w:tcPr>
            <w:tcW w:w="1928" w:type="dxa"/>
          </w:tcPr>
          <w:p w:rsidR="00D84B55" w:rsidRDefault="00D84B55">
            <w:pPr>
              <w:pStyle w:val="ConsPlusNormal"/>
            </w:pPr>
            <w:r>
              <w:t>-</w:t>
            </w:r>
          </w:p>
        </w:tc>
      </w:tr>
      <w:tr w:rsidR="00D84B55">
        <w:tc>
          <w:tcPr>
            <w:tcW w:w="686" w:type="dxa"/>
          </w:tcPr>
          <w:p w:rsidR="00D84B55" w:rsidRDefault="00D84B55">
            <w:pPr>
              <w:pStyle w:val="ConsPlusNormal"/>
              <w:jc w:val="center"/>
            </w:pPr>
            <w:r>
              <w:t>2.1</w:t>
            </w:r>
          </w:p>
        </w:tc>
        <w:tc>
          <w:tcPr>
            <w:tcW w:w="4422" w:type="dxa"/>
          </w:tcPr>
          <w:p w:rsidR="00D84B55" w:rsidRDefault="00D84B55">
            <w:pPr>
              <w:pStyle w:val="ConsPlusNormal"/>
              <w:jc w:val="both"/>
            </w:pPr>
            <w:r>
              <w:t xml:space="preserve">Выдача сетевой организацией уведомления об обеспечении сетевой организацией возможности присоединения к электрическим сетям Заявителям, указанным в </w:t>
            </w:r>
            <w:hyperlink w:anchor="P130">
              <w:r>
                <w:rPr>
                  <w:color w:val="0000FF"/>
                </w:rPr>
                <w:t>абзаце шестом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1587" w:type="dxa"/>
          </w:tcPr>
          <w:p w:rsidR="00D84B55" w:rsidRDefault="00D84B55">
            <w:pPr>
              <w:pStyle w:val="ConsPlusNormal"/>
            </w:pPr>
          </w:p>
        </w:tc>
        <w:tc>
          <w:tcPr>
            <w:tcW w:w="1701" w:type="dxa"/>
          </w:tcPr>
          <w:p w:rsidR="00D84B55" w:rsidRDefault="00D84B55">
            <w:pPr>
              <w:pStyle w:val="ConsPlusNormal"/>
            </w:pPr>
          </w:p>
        </w:tc>
        <w:tc>
          <w:tcPr>
            <w:tcW w:w="1871" w:type="dxa"/>
          </w:tcPr>
          <w:p w:rsidR="00D84B55" w:rsidRDefault="00D84B55">
            <w:pPr>
              <w:pStyle w:val="ConsPlusNormal"/>
            </w:pPr>
          </w:p>
        </w:tc>
        <w:tc>
          <w:tcPr>
            <w:tcW w:w="1928" w:type="dxa"/>
          </w:tcPr>
          <w:p w:rsidR="00D84B55" w:rsidRDefault="00D84B55">
            <w:pPr>
              <w:pStyle w:val="ConsPlusNormal"/>
            </w:pPr>
          </w:p>
        </w:tc>
      </w:tr>
      <w:tr w:rsidR="00D84B55">
        <w:tc>
          <w:tcPr>
            <w:tcW w:w="686" w:type="dxa"/>
          </w:tcPr>
          <w:p w:rsidR="00D84B55" w:rsidRDefault="00D84B55">
            <w:pPr>
              <w:pStyle w:val="ConsPlusNormal"/>
              <w:jc w:val="center"/>
            </w:pPr>
            <w:r>
              <w:t>2.2</w:t>
            </w:r>
          </w:p>
        </w:tc>
        <w:tc>
          <w:tcPr>
            <w:tcW w:w="4422" w:type="dxa"/>
          </w:tcPr>
          <w:p w:rsidR="00D84B55" w:rsidRDefault="00D84B55">
            <w:pPr>
              <w:pStyle w:val="ConsPlusNormal"/>
              <w:jc w:val="both"/>
            </w:pPr>
            <w:r>
              <w:t xml:space="preserve">Проверка сетевой организацией выполнения технических условий Заявителями, указанными в </w:t>
            </w:r>
            <w:hyperlink w:anchor="P131">
              <w:r>
                <w:rPr>
                  <w:color w:val="0000FF"/>
                </w:rPr>
                <w:t>абзаце седьмом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1587" w:type="dxa"/>
          </w:tcPr>
          <w:p w:rsidR="00D84B55" w:rsidRDefault="00D84B55">
            <w:pPr>
              <w:pStyle w:val="ConsPlusNormal"/>
            </w:pPr>
          </w:p>
        </w:tc>
        <w:tc>
          <w:tcPr>
            <w:tcW w:w="1701" w:type="dxa"/>
          </w:tcPr>
          <w:p w:rsidR="00D84B55" w:rsidRDefault="00D84B55">
            <w:pPr>
              <w:pStyle w:val="ConsPlusNormal"/>
            </w:pPr>
          </w:p>
        </w:tc>
        <w:tc>
          <w:tcPr>
            <w:tcW w:w="1871" w:type="dxa"/>
          </w:tcPr>
          <w:p w:rsidR="00D84B55" w:rsidRDefault="00D84B55">
            <w:pPr>
              <w:pStyle w:val="ConsPlusNormal"/>
            </w:pPr>
          </w:p>
        </w:tc>
        <w:tc>
          <w:tcPr>
            <w:tcW w:w="1928" w:type="dxa"/>
          </w:tcPr>
          <w:p w:rsidR="00D84B55" w:rsidRDefault="00D84B55">
            <w:pPr>
              <w:pStyle w:val="ConsPlusNormal"/>
            </w:pPr>
          </w:p>
        </w:tc>
      </w:tr>
    </w:tbl>
    <w:p w:rsidR="00D84B55" w:rsidRDefault="00D84B55">
      <w:pPr>
        <w:pStyle w:val="ConsPlusNormal"/>
        <w:sectPr w:rsidR="00D84B55">
          <w:pgSz w:w="16838" w:h="11905" w:orient="landscape"/>
          <w:pgMar w:top="1701" w:right="1134" w:bottom="850" w:left="1134" w:header="0" w:footer="0" w:gutter="0"/>
          <w:cols w:space="720"/>
          <w:titlePg/>
        </w:sectPr>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right"/>
        <w:outlineLvl w:val="1"/>
      </w:pPr>
      <w:r>
        <w:t>Приложение N 3</w:t>
      </w:r>
    </w:p>
    <w:p w:rsidR="00D84B55" w:rsidRDefault="00D84B55">
      <w:pPr>
        <w:pStyle w:val="ConsPlusNormal"/>
        <w:jc w:val="right"/>
      </w:pPr>
      <w:r>
        <w:t>к Методическим указаниям</w:t>
      </w:r>
    </w:p>
    <w:p w:rsidR="00D84B55" w:rsidRDefault="00D84B55">
      <w:pPr>
        <w:pStyle w:val="ConsPlusNormal"/>
        <w:jc w:val="right"/>
      </w:pPr>
      <w:r>
        <w:t>по определению размера платы</w:t>
      </w:r>
    </w:p>
    <w:p w:rsidR="00D84B55" w:rsidRDefault="00D84B55">
      <w:pPr>
        <w:pStyle w:val="ConsPlusNormal"/>
        <w:jc w:val="right"/>
      </w:pPr>
      <w:r>
        <w:t>за технологическое присоединение</w:t>
      </w:r>
    </w:p>
    <w:p w:rsidR="00D84B55" w:rsidRDefault="00D84B55">
      <w:pPr>
        <w:pStyle w:val="ConsPlusNormal"/>
        <w:jc w:val="right"/>
      </w:pPr>
      <w:r>
        <w:t>к электрическим сетям</w:t>
      </w:r>
    </w:p>
    <w:p w:rsidR="00D84B55" w:rsidRDefault="00D84B55">
      <w:pPr>
        <w:pStyle w:val="ConsPlusNormal"/>
        <w:jc w:val="both"/>
      </w:pPr>
    </w:p>
    <w:p w:rsidR="00D84B55" w:rsidRDefault="00D84B55">
      <w:pPr>
        <w:pStyle w:val="ConsPlusNormal"/>
        <w:jc w:val="right"/>
      </w:pPr>
      <w:r>
        <w:t>(рекомендуемый образец)</w:t>
      </w:r>
    </w:p>
    <w:p w:rsidR="00D84B55" w:rsidRDefault="00D84B55">
      <w:pPr>
        <w:pStyle w:val="ConsPlusNormal"/>
        <w:jc w:val="both"/>
      </w:pPr>
    </w:p>
    <w:p w:rsidR="00D84B55" w:rsidRDefault="00D84B55">
      <w:pPr>
        <w:pStyle w:val="ConsPlusNormal"/>
        <w:jc w:val="center"/>
      </w:pPr>
      <w:r>
        <w:t>Расчет</w:t>
      </w:r>
    </w:p>
    <w:p w:rsidR="00D84B55" w:rsidRDefault="00D84B55">
      <w:pPr>
        <w:pStyle w:val="ConsPlusNormal"/>
        <w:jc w:val="center"/>
      </w:pPr>
      <w:r>
        <w:t>фактических расходов на выполнение мероприятий</w:t>
      </w:r>
    </w:p>
    <w:p w:rsidR="00D84B55" w:rsidRDefault="00D84B55">
      <w:pPr>
        <w:pStyle w:val="ConsPlusNormal"/>
        <w:jc w:val="center"/>
      </w:pPr>
      <w:r>
        <w:t xml:space="preserve">по технологическому присоединению, </w:t>
      </w:r>
      <w:proofErr w:type="gramStart"/>
      <w:r>
        <w:t>предусмотренных</w:t>
      </w:r>
      <w:proofErr w:type="gramEnd"/>
    </w:p>
    <w:p w:rsidR="00D84B55" w:rsidRDefault="00D84B55">
      <w:pPr>
        <w:pStyle w:val="ConsPlusNormal"/>
        <w:jc w:val="center"/>
      </w:pPr>
      <w:hyperlink w:anchor="P89">
        <w:r>
          <w:rPr>
            <w:color w:val="0000FF"/>
          </w:rPr>
          <w:t>подпунктами "а"</w:t>
        </w:r>
      </w:hyperlink>
      <w:r>
        <w:t xml:space="preserve"> и </w:t>
      </w:r>
      <w:hyperlink w:anchor="P91">
        <w:r>
          <w:rPr>
            <w:color w:val="0000FF"/>
          </w:rPr>
          <w:t>"в" пункта 16</w:t>
        </w:r>
      </w:hyperlink>
      <w:r>
        <w:t xml:space="preserve"> Методических указаний</w:t>
      </w:r>
    </w:p>
    <w:p w:rsidR="00D84B55" w:rsidRDefault="00D84B55">
      <w:pPr>
        <w:pStyle w:val="ConsPlusNormal"/>
        <w:jc w:val="center"/>
      </w:pPr>
      <w:r>
        <w:t xml:space="preserve">по определению размера платы за </w:t>
      </w:r>
      <w:proofErr w:type="gramStart"/>
      <w:r>
        <w:t>технологическое</w:t>
      </w:r>
      <w:proofErr w:type="gramEnd"/>
    </w:p>
    <w:p w:rsidR="00D84B55" w:rsidRDefault="00D84B55">
      <w:pPr>
        <w:pStyle w:val="ConsPlusNormal"/>
        <w:jc w:val="center"/>
      </w:pPr>
      <w:r>
        <w:t>присоединение к электрическим сетям, за ____ год</w:t>
      </w:r>
    </w:p>
    <w:p w:rsidR="00D84B55" w:rsidRDefault="00D84B55">
      <w:pPr>
        <w:pStyle w:val="ConsPlusNormal"/>
        <w:jc w:val="both"/>
      </w:pPr>
    </w:p>
    <w:p w:rsidR="00D84B55" w:rsidRDefault="00D84B55">
      <w:pPr>
        <w:pStyle w:val="ConsPlusNormal"/>
        <w:jc w:val="center"/>
      </w:pPr>
      <w:proofErr w:type="gramStart"/>
      <w:r>
        <w:t>(выполняется отдельно по мероприятиям, предусмотренным</w:t>
      </w:r>
      <w:proofErr w:type="gramEnd"/>
    </w:p>
    <w:p w:rsidR="00D84B55" w:rsidRDefault="00D84B55">
      <w:pPr>
        <w:pStyle w:val="ConsPlusNormal"/>
        <w:jc w:val="center"/>
      </w:pPr>
      <w:hyperlink w:anchor="P89">
        <w:r>
          <w:rPr>
            <w:color w:val="0000FF"/>
          </w:rPr>
          <w:t>подпунктами "а"</w:t>
        </w:r>
      </w:hyperlink>
      <w:r>
        <w:t xml:space="preserve"> и </w:t>
      </w:r>
      <w:hyperlink w:anchor="P91">
        <w:r>
          <w:rPr>
            <w:color w:val="0000FF"/>
          </w:rPr>
          <w:t>"в" пункта 16</w:t>
        </w:r>
      </w:hyperlink>
      <w:r>
        <w:t xml:space="preserve"> Методических указаний</w:t>
      </w:r>
    </w:p>
    <w:p w:rsidR="00D84B55" w:rsidRDefault="00D84B55">
      <w:pPr>
        <w:pStyle w:val="ConsPlusNormal"/>
        <w:jc w:val="center"/>
      </w:pPr>
      <w:r>
        <w:t xml:space="preserve">по определению размера платы за </w:t>
      </w:r>
      <w:proofErr w:type="gramStart"/>
      <w:r>
        <w:t>технологическое</w:t>
      </w:r>
      <w:proofErr w:type="gramEnd"/>
    </w:p>
    <w:p w:rsidR="00D84B55" w:rsidRDefault="00D84B55">
      <w:pPr>
        <w:pStyle w:val="ConsPlusNormal"/>
        <w:jc w:val="center"/>
      </w:pPr>
      <w:r>
        <w:t>присоединение к электрическим сетям)</w:t>
      </w:r>
    </w:p>
    <w:p w:rsidR="00D84B55" w:rsidRDefault="00D84B55">
      <w:pPr>
        <w:pStyle w:val="ConsPlusNormal"/>
        <w:jc w:val="both"/>
      </w:pPr>
    </w:p>
    <w:p w:rsidR="00D84B55" w:rsidRDefault="00D84B55">
      <w:pPr>
        <w:pStyle w:val="ConsPlusNormal"/>
        <w:jc w:val="right"/>
      </w:pPr>
      <w:r>
        <w:t>тыс. руб.</w:t>
      </w:r>
    </w:p>
    <w:p w:rsidR="00D84B55" w:rsidRDefault="00D84B5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742"/>
        <w:gridCol w:w="1474"/>
        <w:gridCol w:w="1531"/>
        <w:gridCol w:w="1361"/>
      </w:tblGrid>
      <w:tr w:rsidR="00D84B55">
        <w:tc>
          <w:tcPr>
            <w:tcW w:w="964" w:type="dxa"/>
          </w:tcPr>
          <w:p w:rsidR="00D84B55" w:rsidRDefault="00D84B55">
            <w:pPr>
              <w:pStyle w:val="ConsPlusNormal"/>
              <w:jc w:val="center"/>
            </w:pPr>
            <w:r>
              <w:t xml:space="preserve">N </w:t>
            </w:r>
            <w:proofErr w:type="gramStart"/>
            <w:r>
              <w:t>п</w:t>
            </w:r>
            <w:proofErr w:type="gramEnd"/>
            <w:r>
              <w:t>/п</w:t>
            </w:r>
          </w:p>
        </w:tc>
        <w:tc>
          <w:tcPr>
            <w:tcW w:w="3742" w:type="dxa"/>
          </w:tcPr>
          <w:p w:rsidR="00D84B55" w:rsidRDefault="00D84B55">
            <w:pPr>
              <w:pStyle w:val="ConsPlusNormal"/>
              <w:jc w:val="center"/>
            </w:pPr>
            <w:r>
              <w:t>Показатели</w:t>
            </w:r>
          </w:p>
        </w:tc>
        <w:tc>
          <w:tcPr>
            <w:tcW w:w="1474" w:type="dxa"/>
          </w:tcPr>
          <w:p w:rsidR="00D84B55" w:rsidRDefault="00D84B55">
            <w:pPr>
              <w:pStyle w:val="ConsPlusNormal"/>
              <w:jc w:val="center"/>
            </w:pPr>
            <w:r>
              <w:t>Данные за предыдущий период регулирования (n-2)</w:t>
            </w:r>
          </w:p>
        </w:tc>
        <w:tc>
          <w:tcPr>
            <w:tcW w:w="1531" w:type="dxa"/>
            <w:vAlign w:val="center"/>
          </w:tcPr>
          <w:p w:rsidR="00D84B55" w:rsidRDefault="00D84B55">
            <w:pPr>
              <w:pStyle w:val="ConsPlusNormal"/>
              <w:jc w:val="center"/>
            </w:pPr>
            <w:r>
              <w:t>Данные за год (n-3), предшествующий предыдущему периоду регулирования</w:t>
            </w:r>
          </w:p>
        </w:tc>
        <w:tc>
          <w:tcPr>
            <w:tcW w:w="1361" w:type="dxa"/>
          </w:tcPr>
          <w:p w:rsidR="00D84B55" w:rsidRDefault="00D84B55">
            <w:pPr>
              <w:pStyle w:val="ConsPlusNormal"/>
              <w:jc w:val="center"/>
            </w:pPr>
            <w:r>
              <w:t>Данные за год (n-4), предшествующий году (n-3)</w:t>
            </w:r>
          </w:p>
        </w:tc>
      </w:tr>
      <w:tr w:rsidR="00D84B55">
        <w:tc>
          <w:tcPr>
            <w:tcW w:w="964" w:type="dxa"/>
            <w:vAlign w:val="center"/>
          </w:tcPr>
          <w:p w:rsidR="00D84B55" w:rsidRDefault="00D84B55">
            <w:pPr>
              <w:pStyle w:val="ConsPlusNormal"/>
              <w:jc w:val="center"/>
            </w:pPr>
            <w:r>
              <w:t>1</w:t>
            </w:r>
          </w:p>
        </w:tc>
        <w:tc>
          <w:tcPr>
            <w:tcW w:w="3742" w:type="dxa"/>
            <w:vAlign w:val="center"/>
          </w:tcPr>
          <w:p w:rsidR="00D84B55" w:rsidRDefault="00D84B55">
            <w:pPr>
              <w:pStyle w:val="ConsPlusNormal"/>
              <w:jc w:val="center"/>
            </w:pPr>
            <w:r>
              <w:t>2</w:t>
            </w:r>
          </w:p>
        </w:tc>
        <w:tc>
          <w:tcPr>
            <w:tcW w:w="1474" w:type="dxa"/>
            <w:vAlign w:val="center"/>
          </w:tcPr>
          <w:p w:rsidR="00D84B55" w:rsidRDefault="00D84B55">
            <w:pPr>
              <w:pStyle w:val="ConsPlusNormal"/>
              <w:jc w:val="center"/>
            </w:pPr>
            <w:r>
              <w:t>3</w:t>
            </w:r>
          </w:p>
        </w:tc>
        <w:tc>
          <w:tcPr>
            <w:tcW w:w="1531" w:type="dxa"/>
            <w:vAlign w:val="center"/>
          </w:tcPr>
          <w:p w:rsidR="00D84B55" w:rsidRDefault="00D84B55">
            <w:pPr>
              <w:pStyle w:val="ConsPlusNormal"/>
              <w:jc w:val="center"/>
            </w:pPr>
            <w:r>
              <w:t>4</w:t>
            </w:r>
          </w:p>
        </w:tc>
        <w:tc>
          <w:tcPr>
            <w:tcW w:w="1361" w:type="dxa"/>
            <w:vAlign w:val="center"/>
          </w:tcPr>
          <w:p w:rsidR="00D84B55" w:rsidRDefault="00D84B55">
            <w:pPr>
              <w:pStyle w:val="ConsPlusNormal"/>
              <w:jc w:val="center"/>
            </w:pPr>
            <w:r>
              <w:t>5</w:t>
            </w:r>
          </w:p>
        </w:tc>
      </w:tr>
      <w:tr w:rsidR="00D84B55">
        <w:tc>
          <w:tcPr>
            <w:tcW w:w="964" w:type="dxa"/>
          </w:tcPr>
          <w:p w:rsidR="00D84B55" w:rsidRDefault="00D84B55">
            <w:pPr>
              <w:pStyle w:val="ConsPlusNormal"/>
            </w:pPr>
            <w:r>
              <w:t>1.</w:t>
            </w:r>
          </w:p>
        </w:tc>
        <w:tc>
          <w:tcPr>
            <w:tcW w:w="3742" w:type="dxa"/>
          </w:tcPr>
          <w:p w:rsidR="00D84B55" w:rsidRDefault="00D84B55">
            <w:pPr>
              <w:pStyle w:val="ConsPlusNormal"/>
            </w:pPr>
            <w:r>
              <w:t>Расходы по выполнению мероприятий по технологическому присоединению, всего</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vAlign w:val="center"/>
          </w:tcPr>
          <w:p w:rsidR="00D84B55" w:rsidRDefault="00D84B55">
            <w:pPr>
              <w:pStyle w:val="ConsPlusNormal"/>
            </w:pPr>
            <w:r>
              <w:t>1.1.</w:t>
            </w:r>
          </w:p>
        </w:tc>
        <w:tc>
          <w:tcPr>
            <w:tcW w:w="3742" w:type="dxa"/>
          </w:tcPr>
          <w:p w:rsidR="00D84B55" w:rsidRDefault="00D84B55">
            <w:pPr>
              <w:pStyle w:val="ConsPlusNormal"/>
            </w:pPr>
            <w:r>
              <w:t>Вспомогательные материалы</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vAlign w:val="bottom"/>
          </w:tcPr>
          <w:p w:rsidR="00D84B55" w:rsidRDefault="00D84B55">
            <w:pPr>
              <w:pStyle w:val="ConsPlusNormal"/>
            </w:pPr>
            <w:r>
              <w:t>1.2.</w:t>
            </w:r>
          </w:p>
        </w:tc>
        <w:tc>
          <w:tcPr>
            <w:tcW w:w="3742" w:type="dxa"/>
          </w:tcPr>
          <w:p w:rsidR="00D84B55" w:rsidRDefault="00D84B55">
            <w:pPr>
              <w:pStyle w:val="ConsPlusNormal"/>
            </w:pPr>
            <w:r>
              <w:t>Энергия на хозяйственные нужды</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vAlign w:val="bottom"/>
          </w:tcPr>
          <w:p w:rsidR="00D84B55" w:rsidRDefault="00D84B55">
            <w:pPr>
              <w:pStyle w:val="ConsPlusNormal"/>
            </w:pPr>
            <w:r>
              <w:t>1.3.</w:t>
            </w:r>
          </w:p>
        </w:tc>
        <w:tc>
          <w:tcPr>
            <w:tcW w:w="3742" w:type="dxa"/>
          </w:tcPr>
          <w:p w:rsidR="00D84B55" w:rsidRDefault="00D84B55">
            <w:pPr>
              <w:pStyle w:val="ConsPlusNormal"/>
            </w:pPr>
            <w:r>
              <w:t>Оплата труда ППП</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vAlign w:val="center"/>
          </w:tcPr>
          <w:p w:rsidR="00D84B55" w:rsidRDefault="00D84B55">
            <w:pPr>
              <w:pStyle w:val="ConsPlusNormal"/>
            </w:pPr>
            <w:r>
              <w:t>1.4.</w:t>
            </w:r>
          </w:p>
        </w:tc>
        <w:tc>
          <w:tcPr>
            <w:tcW w:w="3742" w:type="dxa"/>
          </w:tcPr>
          <w:p w:rsidR="00D84B55" w:rsidRDefault="00D84B55">
            <w:pPr>
              <w:pStyle w:val="ConsPlusNormal"/>
            </w:pPr>
            <w:r>
              <w:t>Отчисления на страховые взносы</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1.5.</w:t>
            </w:r>
          </w:p>
        </w:tc>
        <w:tc>
          <w:tcPr>
            <w:tcW w:w="3742" w:type="dxa"/>
          </w:tcPr>
          <w:p w:rsidR="00D84B55" w:rsidRDefault="00D84B55">
            <w:pPr>
              <w:pStyle w:val="ConsPlusNormal"/>
            </w:pPr>
            <w:r>
              <w:t>Прочие расходы, всего, в том числе:</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1.5.1.</w:t>
            </w:r>
          </w:p>
        </w:tc>
        <w:tc>
          <w:tcPr>
            <w:tcW w:w="3742" w:type="dxa"/>
          </w:tcPr>
          <w:p w:rsidR="00D84B55" w:rsidRDefault="00D84B55">
            <w:pPr>
              <w:pStyle w:val="ConsPlusNormal"/>
            </w:pPr>
            <w:r>
              <w:t>- работы и услуги производственного характера</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1.5.2.</w:t>
            </w:r>
          </w:p>
        </w:tc>
        <w:tc>
          <w:tcPr>
            <w:tcW w:w="3742" w:type="dxa"/>
          </w:tcPr>
          <w:p w:rsidR="00D84B55" w:rsidRDefault="00D84B55">
            <w:pPr>
              <w:pStyle w:val="ConsPlusNormal"/>
            </w:pPr>
            <w:r>
              <w:t>- налоги и сборы, уменьшающие налогооблагаемую базу на прибыль организаций, всего</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1.5.3.</w:t>
            </w:r>
          </w:p>
        </w:tc>
        <w:tc>
          <w:tcPr>
            <w:tcW w:w="3742" w:type="dxa"/>
          </w:tcPr>
          <w:p w:rsidR="00D84B55" w:rsidRDefault="00D84B55">
            <w:pPr>
              <w:pStyle w:val="ConsPlusNormal"/>
            </w:pPr>
            <w:r>
              <w:t>- работы и услуги непроизводственного характера, в т.ч.:</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1.5.3.1.</w:t>
            </w:r>
          </w:p>
        </w:tc>
        <w:tc>
          <w:tcPr>
            <w:tcW w:w="3742" w:type="dxa"/>
          </w:tcPr>
          <w:p w:rsidR="00D84B55" w:rsidRDefault="00D84B55">
            <w:pPr>
              <w:pStyle w:val="ConsPlusNormal"/>
            </w:pPr>
            <w:r>
              <w:t>услуги связи</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1.5.3.2.</w:t>
            </w:r>
          </w:p>
        </w:tc>
        <w:tc>
          <w:tcPr>
            <w:tcW w:w="3742" w:type="dxa"/>
          </w:tcPr>
          <w:p w:rsidR="00D84B55" w:rsidRDefault="00D84B55">
            <w:pPr>
              <w:pStyle w:val="ConsPlusNormal"/>
            </w:pPr>
            <w:r>
              <w:t>расходы на охрану и пожарную безопасность</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1.5.3.3.</w:t>
            </w:r>
          </w:p>
        </w:tc>
        <w:tc>
          <w:tcPr>
            <w:tcW w:w="3742" w:type="dxa"/>
          </w:tcPr>
          <w:p w:rsidR="00D84B55" w:rsidRDefault="00D84B55">
            <w:pPr>
              <w:pStyle w:val="ConsPlusNormal"/>
            </w:pPr>
            <w:r>
              <w:t>расходы на информационное обслуживание, иные услуги, связанные с деятельностью по технологическому присоединению</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1.5.3.4.</w:t>
            </w:r>
          </w:p>
        </w:tc>
        <w:tc>
          <w:tcPr>
            <w:tcW w:w="3742" w:type="dxa"/>
          </w:tcPr>
          <w:p w:rsidR="00D84B55" w:rsidRDefault="00D84B55">
            <w:pPr>
              <w:pStyle w:val="ConsPlusNormal"/>
            </w:pPr>
            <w:r>
              <w:t>плата за аренду имущества</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1.5.3.5.</w:t>
            </w:r>
          </w:p>
        </w:tc>
        <w:tc>
          <w:tcPr>
            <w:tcW w:w="3742" w:type="dxa"/>
          </w:tcPr>
          <w:p w:rsidR="00D84B55" w:rsidRDefault="00D84B55">
            <w:pPr>
              <w:pStyle w:val="ConsPlusNormal"/>
            </w:pPr>
            <w:r>
              <w:t>другие прочие расходы, связанные с производством и реализацией</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1.6.</w:t>
            </w:r>
          </w:p>
        </w:tc>
        <w:tc>
          <w:tcPr>
            <w:tcW w:w="3742" w:type="dxa"/>
          </w:tcPr>
          <w:p w:rsidR="00D84B55" w:rsidRDefault="00D84B55">
            <w:pPr>
              <w:pStyle w:val="ConsPlusNormal"/>
            </w:pPr>
            <w:r>
              <w:t>Внереализационные расходы, всего</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1.6.1.</w:t>
            </w:r>
          </w:p>
        </w:tc>
        <w:tc>
          <w:tcPr>
            <w:tcW w:w="3742" w:type="dxa"/>
          </w:tcPr>
          <w:p w:rsidR="00D84B55" w:rsidRDefault="00D84B55">
            <w:pPr>
              <w:pStyle w:val="ConsPlusNormal"/>
            </w:pPr>
            <w:r>
              <w:t>- расходы на услуги банков</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1.6.2.</w:t>
            </w:r>
          </w:p>
        </w:tc>
        <w:tc>
          <w:tcPr>
            <w:tcW w:w="3742" w:type="dxa"/>
          </w:tcPr>
          <w:p w:rsidR="00D84B55" w:rsidRDefault="00D84B55">
            <w:pPr>
              <w:pStyle w:val="ConsPlusNormal"/>
            </w:pPr>
            <w:r>
              <w:t>- проценты за пользование кредитом</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1.6.3.</w:t>
            </w:r>
          </w:p>
        </w:tc>
        <w:tc>
          <w:tcPr>
            <w:tcW w:w="3742" w:type="dxa"/>
          </w:tcPr>
          <w:p w:rsidR="00D84B55" w:rsidRDefault="00D84B55">
            <w:pPr>
              <w:pStyle w:val="ConsPlusNormal"/>
            </w:pPr>
            <w:r>
              <w:t>- прочие обоснованные расходы</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r w:rsidR="00D84B55">
        <w:tc>
          <w:tcPr>
            <w:tcW w:w="964" w:type="dxa"/>
          </w:tcPr>
          <w:p w:rsidR="00D84B55" w:rsidRDefault="00D84B55">
            <w:pPr>
              <w:pStyle w:val="ConsPlusNormal"/>
            </w:pPr>
            <w:r>
              <w:t>1.6.4.</w:t>
            </w:r>
          </w:p>
        </w:tc>
        <w:tc>
          <w:tcPr>
            <w:tcW w:w="3742" w:type="dxa"/>
          </w:tcPr>
          <w:p w:rsidR="00D84B55" w:rsidRDefault="00D84B55">
            <w:pPr>
              <w:pStyle w:val="ConsPlusNormal"/>
            </w:pPr>
            <w:r>
              <w:t>- денежные выплаты социального характера (по Коллективному договору)</w:t>
            </w:r>
          </w:p>
        </w:tc>
        <w:tc>
          <w:tcPr>
            <w:tcW w:w="1474" w:type="dxa"/>
          </w:tcPr>
          <w:p w:rsidR="00D84B55" w:rsidRDefault="00D84B55">
            <w:pPr>
              <w:pStyle w:val="ConsPlusNormal"/>
            </w:pPr>
          </w:p>
        </w:tc>
        <w:tc>
          <w:tcPr>
            <w:tcW w:w="1531" w:type="dxa"/>
          </w:tcPr>
          <w:p w:rsidR="00D84B55" w:rsidRDefault="00D84B55">
            <w:pPr>
              <w:pStyle w:val="ConsPlusNormal"/>
            </w:pPr>
          </w:p>
        </w:tc>
        <w:tc>
          <w:tcPr>
            <w:tcW w:w="1361" w:type="dxa"/>
          </w:tcPr>
          <w:p w:rsidR="00D84B55" w:rsidRDefault="00D84B55">
            <w:pPr>
              <w:pStyle w:val="ConsPlusNormal"/>
            </w:pPr>
          </w:p>
        </w:tc>
      </w:tr>
    </w:tbl>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right"/>
        <w:outlineLvl w:val="1"/>
      </w:pPr>
      <w:r>
        <w:t>Приложение N 4</w:t>
      </w:r>
    </w:p>
    <w:p w:rsidR="00D84B55" w:rsidRDefault="00D84B55">
      <w:pPr>
        <w:pStyle w:val="ConsPlusNormal"/>
        <w:jc w:val="right"/>
      </w:pPr>
      <w:r>
        <w:t>к Методическим указаниям</w:t>
      </w:r>
    </w:p>
    <w:p w:rsidR="00D84B55" w:rsidRDefault="00D84B55">
      <w:pPr>
        <w:pStyle w:val="ConsPlusNormal"/>
        <w:jc w:val="right"/>
      </w:pPr>
      <w:r>
        <w:t>по определению размера платы</w:t>
      </w:r>
    </w:p>
    <w:p w:rsidR="00D84B55" w:rsidRDefault="00D84B55">
      <w:pPr>
        <w:pStyle w:val="ConsPlusNormal"/>
        <w:jc w:val="right"/>
      </w:pPr>
      <w:r>
        <w:t>за технологическое присоединение</w:t>
      </w:r>
    </w:p>
    <w:p w:rsidR="00D84B55" w:rsidRDefault="00D84B55">
      <w:pPr>
        <w:pStyle w:val="ConsPlusNormal"/>
        <w:jc w:val="right"/>
      </w:pPr>
      <w:r>
        <w:t>к электрическим сетям</w:t>
      </w:r>
    </w:p>
    <w:p w:rsidR="00D84B55" w:rsidRDefault="00D84B55">
      <w:pPr>
        <w:pStyle w:val="ConsPlusNormal"/>
        <w:jc w:val="both"/>
      </w:pPr>
    </w:p>
    <w:p w:rsidR="00D84B55" w:rsidRDefault="00D84B55">
      <w:pPr>
        <w:pStyle w:val="ConsPlusNormal"/>
        <w:jc w:val="right"/>
      </w:pPr>
      <w:r>
        <w:t>(рекомендуемый образец)</w:t>
      </w:r>
    </w:p>
    <w:p w:rsidR="00D84B55" w:rsidRDefault="00D84B55">
      <w:pPr>
        <w:pStyle w:val="ConsPlusNormal"/>
        <w:jc w:val="both"/>
      </w:pPr>
    </w:p>
    <w:p w:rsidR="00D84B55" w:rsidRDefault="00D84B55">
      <w:pPr>
        <w:pStyle w:val="ConsPlusNormal"/>
        <w:jc w:val="center"/>
      </w:pPr>
      <w:bookmarkStart w:id="25" w:name="P920"/>
      <w:bookmarkEnd w:id="25"/>
      <w:r>
        <w:t>Результаты</w:t>
      </w:r>
    </w:p>
    <w:p w:rsidR="00D84B55" w:rsidRDefault="00D84B55">
      <w:pPr>
        <w:pStyle w:val="ConsPlusNormal"/>
        <w:jc w:val="center"/>
      </w:pPr>
      <w:r>
        <w:t>расчета экономически обоснованных расходов</w:t>
      </w:r>
    </w:p>
    <w:p w:rsidR="00D84B55" w:rsidRDefault="00D84B55">
      <w:pPr>
        <w:pStyle w:val="ConsPlusNormal"/>
        <w:jc w:val="center"/>
      </w:pPr>
      <w:r>
        <w:t>на выполнение мероприятий по технологическому присоединению,</w:t>
      </w:r>
    </w:p>
    <w:p w:rsidR="00D84B55" w:rsidRDefault="00D84B55">
      <w:pPr>
        <w:pStyle w:val="ConsPlusNormal"/>
        <w:jc w:val="center"/>
      </w:pPr>
      <w:r>
        <w:t xml:space="preserve">предусмотренных </w:t>
      </w:r>
      <w:hyperlink w:anchor="P89">
        <w:r>
          <w:rPr>
            <w:color w:val="0000FF"/>
          </w:rPr>
          <w:t>подпунктами "а"</w:t>
        </w:r>
      </w:hyperlink>
      <w:r>
        <w:t xml:space="preserve"> и </w:t>
      </w:r>
      <w:hyperlink w:anchor="P91">
        <w:r>
          <w:rPr>
            <w:color w:val="0000FF"/>
          </w:rPr>
          <w:t>"в" пункта 16</w:t>
        </w:r>
      </w:hyperlink>
      <w:r>
        <w:t xml:space="preserve"> Методических</w:t>
      </w:r>
    </w:p>
    <w:p w:rsidR="00D84B55" w:rsidRDefault="00D84B55">
      <w:pPr>
        <w:pStyle w:val="ConsPlusNormal"/>
        <w:jc w:val="center"/>
      </w:pPr>
      <w:r>
        <w:t xml:space="preserve">указаний по определению размера платы за </w:t>
      </w:r>
      <w:proofErr w:type="gramStart"/>
      <w:r>
        <w:t>технологическое</w:t>
      </w:r>
      <w:proofErr w:type="gramEnd"/>
    </w:p>
    <w:p w:rsidR="00D84B55" w:rsidRDefault="00D84B55">
      <w:pPr>
        <w:pStyle w:val="ConsPlusNormal"/>
        <w:jc w:val="center"/>
      </w:pPr>
      <w:r>
        <w:t>присоединение к электрическим сетям</w:t>
      </w:r>
    </w:p>
    <w:p w:rsidR="00D84B55" w:rsidRDefault="00D84B55">
      <w:pPr>
        <w:pStyle w:val="ConsPlusNormal"/>
        <w:jc w:val="both"/>
      </w:pPr>
    </w:p>
    <w:p w:rsidR="00D84B55" w:rsidRDefault="00D84B55">
      <w:pPr>
        <w:pStyle w:val="ConsPlusNormal"/>
        <w:jc w:val="right"/>
      </w:pPr>
      <w:r>
        <w:t>руб. на одно присоединение</w:t>
      </w:r>
    </w:p>
    <w:p w:rsidR="00D84B55" w:rsidRDefault="00D84B5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91"/>
        <w:gridCol w:w="1701"/>
        <w:gridCol w:w="1814"/>
        <w:gridCol w:w="2041"/>
      </w:tblGrid>
      <w:tr w:rsidR="00D84B55">
        <w:tc>
          <w:tcPr>
            <w:tcW w:w="624" w:type="dxa"/>
          </w:tcPr>
          <w:p w:rsidR="00D84B55" w:rsidRDefault="00D84B55">
            <w:pPr>
              <w:pStyle w:val="ConsPlusNormal"/>
              <w:jc w:val="center"/>
            </w:pPr>
            <w:r>
              <w:t xml:space="preserve">N </w:t>
            </w:r>
            <w:proofErr w:type="gramStart"/>
            <w:r>
              <w:t>п</w:t>
            </w:r>
            <w:proofErr w:type="gramEnd"/>
            <w:r>
              <w:t>/п</w:t>
            </w:r>
          </w:p>
        </w:tc>
        <w:tc>
          <w:tcPr>
            <w:tcW w:w="2891" w:type="dxa"/>
          </w:tcPr>
          <w:p w:rsidR="00D84B55" w:rsidRDefault="00D84B55">
            <w:pPr>
              <w:pStyle w:val="ConsPlusNormal"/>
              <w:jc w:val="center"/>
            </w:pPr>
            <w:r>
              <w:t>Показатели</w:t>
            </w:r>
          </w:p>
        </w:tc>
        <w:tc>
          <w:tcPr>
            <w:tcW w:w="1701" w:type="dxa"/>
          </w:tcPr>
          <w:p w:rsidR="00D84B55" w:rsidRDefault="00D84B55">
            <w:pPr>
              <w:pStyle w:val="ConsPlusNormal"/>
              <w:jc w:val="center"/>
            </w:pPr>
            <w:r>
              <w:t>Данные за предыдущий период регулирования (n-2)</w:t>
            </w:r>
          </w:p>
        </w:tc>
        <w:tc>
          <w:tcPr>
            <w:tcW w:w="1814" w:type="dxa"/>
          </w:tcPr>
          <w:p w:rsidR="00D84B55" w:rsidRDefault="00D84B55">
            <w:pPr>
              <w:pStyle w:val="ConsPlusNormal"/>
              <w:jc w:val="center"/>
            </w:pPr>
            <w:r>
              <w:t>Данные за год (n-3), предшествующий предыдущему периоду регулирования</w:t>
            </w:r>
          </w:p>
        </w:tc>
        <w:tc>
          <w:tcPr>
            <w:tcW w:w="2041" w:type="dxa"/>
          </w:tcPr>
          <w:p w:rsidR="00D84B55" w:rsidRDefault="00D84B55">
            <w:pPr>
              <w:pStyle w:val="ConsPlusNormal"/>
              <w:jc w:val="center"/>
            </w:pPr>
            <w:r>
              <w:t>Данные за год, предшествующий году (n-3)</w:t>
            </w:r>
          </w:p>
        </w:tc>
      </w:tr>
      <w:tr w:rsidR="00D84B55">
        <w:tc>
          <w:tcPr>
            <w:tcW w:w="624" w:type="dxa"/>
          </w:tcPr>
          <w:p w:rsidR="00D84B55" w:rsidRDefault="00D84B55">
            <w:pPr>
              <w:pStyle w:val="ConsPlusNormal"/>
              <w:jc w:val="center"/>
            </w:pPr>
            <w:r>
              <w:t>1</w:t>
            </w:r>
          </w:p>
        </w:tc>
        <w:tc>
          <w:tcPr>
            <w:tcW w:w="2891" w:type="dxa"/>
          </w:tcPr>
          <w:p w:rsidR="00D84B55" w:rsidRDefault="00D84B55">
            <w:pPr>
              <w:pStyle w:val="ConsPlusNormal"/>
              <w:jc w:val="center"/>
            </w:pPr>
            <w:r>
              <w:t>2</w:t>
            </w:r>
          </w:p>
        </w:tc>
        <w:tc>
          <w:tcPr>
            <w:tcW w:w="1701" w:type="dxa"/>
          </w:tcPr>
          <w:p w:rsidR="00D84B55" w:rsidRDefault="00D84B55">
            <w:pPr>
              <w:pStyle w:val="ConsPlusNormal"/>
              <w:jc w:val="center"/>
            </w:pPr>
            <w:r>
              <w:t>3</w:t>
            </w:r>
          </w:p>
        </w:tc>
        <w:tc>
          <w:tcPr>
            <w:tcW w:w="1814" w:type="dxa"/>
          </w:tcPr>
          <w:p w:rsidR="00D84B55" w:rsidRDefault="00D84B55">
            <w:pPr>
              <w:pStyle w:val="ConsPlusNormal"/>
              <w:jc w:val="center"/>
            </w:pPr>
            <w:r>
              <w:t>4</w:t>
            </w:r>
          </w:p>
        </w:tc>
        <w:tc>
          <w:tcPr>
            <w:tcW w:w="2041" w:type="dxa"/>
          </w:tcPr>
          <w:p w:rsidR="00D84B55" w:rsidRDefault="00D84B55">
            <w:pPr>
              <w:pStyle w:val="ConsPlusNormal"/>
              <w:jc w:val="center"/>
            </w:pPr>
            <w:r>
              <w:t>5</w:t>
            </w:r>
          </w:p>
        </w:tc>
      </w:tr>
      <w:tr w:rsidR="00D84B55">
        <w:tc>
          <w:tcPr>
            <w:tcW w:w="9071" w:type="dxa"/>
            <w:gridSpan w:val="5"/>
            <w:vAlign w:val="bottom"/>
          </w:tcPr>
          <w:p w:rsidR="00D84B55" w:rsidRDefault="00D84B55">
            <w:pPr>
              <w:pStyle w:val="ConsPlusNormal"/>
              <w:ind w:firstLine="283"/>
              <w:jc w:val="both"/>
              <w:outlineLvl w:val="2"/>
            </w:pPr>
            <w:r>
              <w:t>1. Подготовка и выдача сетевой организацией технических условий Заявителю</w:t>
            </w:r>
          </w:p>
        </w:tc>
      </w:tr>
      <w:tr w:rsidR="00D84B55">
        <w:tc>
          <w:tcPr>
            <w:tcW w:w="624" w:type="dxa"/>
          </w:tcPr>
          <w:p w:rsidR="00D84B55" w:rsidRDefault="00D84B55">
            <w:pPr>
              <w:pStyle w:val="ConsPlusNormal"/>
            </w:pPr>
            <w:r>
              <w:t>1.</w:t>
            </w:r>
          </w:p>
        </w:tc>
        <w:tc>
          <w:tcPr>
            <w:tcW w:w="2891" w:type="dxa"/>
          </w:tcPr>
          <w:p w:rsidR="00D84B55" w:rsidRDefault="00D84B55">
            <w:pPr>
              <w:pStyle w:val="ConsPlusNormal"/>
            </w:pPr>
            <w:r>
              <w:t>Сетевая организация 1</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624" w:type="dxa"/>
          </w:tcPr>
          <w:p w:rsidR="00D84B55" w:rsidRDefault="00D84B55">
            <w:pPr>
              <w:pStyle w:val="ConsPlusNormal"/>
            </w:pPr>
            <w:r>
              <w:t>2.</w:t>
            </w:r>
          </w:p>
        </w:tc>
        <w:tc>
          <w:tcPr>
            <w:tcW w:w="2891" w:type="dxa"/>
          </w:tcPr>
          <w:p w:rsidR="00D84B55" w:rsidRDefault="00D84B55">
            <w:pPr>
              <w:pStyle w:val="ConsPlusNormal"/>
            </w:pPr>
            <w:r>
              <w:t>Сетевая организация 2</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624" w:type="dxa"/>
          </w:tcPr>
          <w:p w:rsidR="00D84B55" w:rsidRDefault="00D84B55">
            <w:pPr>
              <w:pStyle w:val="ConsPlusNormal"/>
            </w:pPr>
            <w:r>
              <w:t>...</w:t>
            </w:r>
          </w:p>
        </w:tc>
        <w:tc>
          <w:tcPr>
            <w:tcW w:w="2891" w:type="dxa"/>
          </w:tcPr>
          <w:p w:rsidR="00D84B55" w:rsidRDefault="00D84B55">
            <w:pPr>
              <w:pStyle w:val="ConsPlusNormal"/>
            </w:pPr>
            <w:r>
              <w:t>...</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624" w:type="dxa"/>
          </w:tcPr>
          <w:p w:rsidR="00D84B55" w:rsidRDefault="00D84B55">
            <w:pPr>
              <w:pStyle w:val="ConsPlusNormal"/>
            </w:pPr>
            <w:r>
              <w:t>N</w:t>
            </w:r>
          </w:p>
        </w:tc>
        <w:tc>
          <w:tcPr>
            <w:tcW w:w="2891" w:type="dxa"/>
          </w:tcPr>
          <w:p w:rsidR="00D84B55" w:rsidRDefault="00D84B55">
            <w:pPr>
              <w:pStyle w:val="ConsPlusNormal"/>
            </w:pPr>
            <w:r>
              <w:t>Сетевая организация N</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9071" w:type="dxa"/>
            <w:gridSpan w:val="5"/>
          </w:tcPr>
          <w:p w:rsidR="00D84B55" w:rsidRDefault="00D84B55">
            <w:pPr>
              <w:pStyle w:val="ConsPlusNormal"/>
              <w:ind w:firstLine="283"/>
              <w:jc w:val="both"/>
              <w:outlineLvl w:val="2"/>
            </w:pPr>
            <w:r>
              <w:t>2. Проверка сетевой организацией выполнения технических условий Заявителем</w:t>
            </w:r>
          </w:p>
        </w:tc>
      </w:tr>
      <w:tr w:rsidR="00D84B55">
        <w:tc>
          <w:tcPr>
            <w:tcW w:w="9071" w:type="dxa"/>
            <w:gridSpan w:val="5"/>
          </w:tcPr>
          <w:p w:rsidR="00D84B55" w:rsidRDefault="00D84B55">
            <w:pPr>
              <w:pStyle w:val="ConsPlusNormal"/>
              <w:ind w:firstLine="283"/>
              <w:jc w:val="both"/>
              <w:outlineLvl w:val="3"/>
            </w:pPr>
            <w:r>
              <w:t xml:space="preserve">2.1. Выдача сетевой организацией уведомления об обеспечении сетевой организацией возможности присоединения к электрическим сетям Заявителям, указанным в </w:t>
            </w:r>
            <w:hyperlink w:anchor="P130">
              <w:r>
                <w:rPr>
                  <w:color w:val="0000FF"/>
                </w:rPr>
                <w:t>абзаце шестом пункта 24</w:t>
              </w:r>
            </w:hyperlink>
            <w:r>
              <w:t xml:space="preserve"> Методических указаний по определению размера платы за технологическое присоединение к электрическим сетям</w:t>
            </w:r>
          </w:p>
        </w:tc>
      </w:tr>
      <w:tr w:rsidR="00D84B55">
        <w:tc>
          <w:tcPr>
            <w:tcW w:w="624" w:type="dxa"/>
          </w:tcPr>
          <w:p w:rsidR="00D84B55" w:rsidRDefault="00D84B55">
            <w:pPr>
              <w:pStyle w:val="ConsPlusNormal"/>
            </w:pPr>
            <w:r>
              <w:t>1.</w:t>
            </w:r>
          </w:p>
        </w:tc>
        <w:tc>
          <w:tcPr>
            <w:tcW w:w="2891" w:type="dxa"/>
          </w:tcPr>
          <w:p w:rsidR="00D84B55" w:rsidRDefault="00D84B55">
            <w:pPr>
              <w:pStyle w:val="ConsPlusNormal"/>
            </w:pPr>
            <w:r>
              <w:t>Сетевая организация 1</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624" w:type="dxa"/>
          </w:tcPr>
          <w:p w:rsidR="00D84B55" w:rsidRDefault="00D84B55">
            <w:pPr>
              <w:pStyle w:val="ConsPlusNormal"/>
            </w:pPr>
            <w:r>
              <w:t>2.</w:t>
            </w:r>
          </w:p>
        </w:tc>
        <w:tc>
          <w:tcPr>
            <w:tcW w:w="2891" w:type="dxa"/>
          </w:tcPr>
          <w:p w:rsidR="00D84B55" w:rsidRDefault="00D84B55">
            <w:pPr>
              <w:pStyle w:val="ConsPlusNormal"/>
            </w:pPr>
            <w:r>
              <w:t>Сетевая организация 2</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624" w:type="dxa"/>
          </w:tcPr>
          <w:p w:rsidR="00D84B55" w:rsidRDefault="00D84B55">
            <w:pPr>
              <w:pStyle w:val="ConsPlusNormal"/>
            </w:pPr>
            <w:r>
              <w:t>...</w:t>
            </w:r>
          </w:p>
        </w:tc>
        <w:tc>
          <w:tcPr>
            <w:tcW w:w="2891" w:type="dxa"/>
          </w:tcPr>
          <w:p w:rsidR="00D84B55" w:rsidRDefault="00D84B55">
            <w:pPr>
              <w:pStyle w:val="ConsPlusNormal"/>
            </w:pPr>
            <w:r>
              <w:t>...</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624" w:type="dxa"/>
          </w:tcPr>
          <w:p w:rsidR="00D84B55" w:rsidRDefault="00D84B55">
            <w:pPr>
              <w:pStyle w:val="ConsPlusNormal"/>
            </w:pPr>
            <w:r>
              <w:t>N</w:t>
            </w:r>
          </w:p>
        </w:tc>
        <w:tc>
          <w:tcPr>
            <w:tcW w:w="2891" w:type="dxa"/>
          </w:tcPr>
          <w:p w:rsidR="00D84B55" w:rsidRDefault="00D84B55">
            <w:pPr>
              <w:pStyle w:val="ConsPlusNormal"/>
            </w:pPr>
            <w:r>
              <w:t>Сетевая организация N</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9071" w:type="dxa"/>
            <w:gridSpan w:val="5"/>
          </w:tcPr>
          <w:p w:rsidR="00D84B55" w:rsidRDefault="00D84B55">
            <w:pPr>
              <w:pStyle w:val="ConsPlusNormal"/>
              <w:ind w:firstLine="283"/>
              <w:jc w:val="both"/>
              <w:outlineLvl w:val="3"/>
            </w:pPr>
            <w:r>
              <w:t xml:space="preserve">2.2. Проверка сетевой организацией выполнения технических условий Заявителями, указанными в </w:t>
            </w:r>
            <w:hyperlink w:anchor="P131">
              <w:r>
                <w:rPr>
                  <w:color w:val="0000FF"/>
                </w:rPr>
                <w:t>абзаце седьмом пункта 24</w:t>
              </w:r>
            </w:hyperlink>
            <w:r>
              <w:t xml:space="preserve"> Методических указаний по определению размера платы за технологическое присоединение к электрическим сетям</w:t>
            </w:r>
          </w:p>
        </w:tc>
      </w:tr>
      <w:tr w:rsidR="00D84B55">
        <w:tc>
          <w:tcPr>
            <w:tcW w:w="624" w:type="dxa"/>
          </w:tcPr>
          <w:p w:rsidR="00D84B55" w:rsidRDefault="00D84B55">
            <w:pPr>
              <w:pStyle w:val="ConsPlusNormal"/>
            </w:pPr>
            <w:r>
              <w:t>1.</w:t>
            </w:r>
          </w:p>
        </w:tc>
        <w:tc>
          <w:tcPr>
            <w:tcW w:w="2891" w:type="dxa"/>
          </w:tcPr>
          <w:p w:rsidR="00D84B55" w:rsidRDefault="00D84B55">
            <w:pPr>
              <w:pStyle w:val="ConsPlusNormal"/>
            </w:pPr>
            <w:r>
              <w:t>Сетевая организация 1</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624" w:type="dxa"/>
          </w:tcPr>
          <w:p w:rsidR="00D84B55" w:rsidRDefault="00D84B55">
            <w:pPr>
              <w:pStyle w:val="ConsPlusNormal"/>
            </w:pPr>
            <w:r>
              <w:t>2.</w:t>
            </w:r>
          </w:p>
        </w:tc>
        <w:tc>
          <w:tcPr>
            <w:tcW w:w="2891" w:type="dxa"/>
          </w:tcPr>
          <w:p w:rsidR="00D84B55" w:rsidRDefault="00D84B55">
            <w:pPr>
              <w:pStyle w:val="ConsPlusNormal"/>
            </w:pPr>
            <w:r>
              <w:t>Сетевая организация 2</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624" w:type="dxa"/>
          </w:tcPr>
          <w:p w:rsidR="00D84B55" w:rsidRDefault="00D84B55">
            <w:pPr>
              <w:pStyle w:val="ConsPlusNormal"/>
            </w:pPr>
            <w:r>
              <w:t>...</w:t>
            </w:r>
          </w:p>
        </w:tc>
        <w:tc>
          <w:tcPr>
            <w:tcW w:w="2891" w:type="dxa"/>
          </w:tcPr>
          <w:p w:rsidR="00D84B55" w:rsidRDefault="00D84B55">
            <w:pPr>
              <w:pStyle w:val="ConsPlusNormal"/>
            </w:pPr>
            <w:r>
              <w:t>...</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r w:rsidR="00D84B55">
        <w:tc>
          <w:tcPr>
            <w:tcW w:w="624" w:type="dxa"/>
          </w:tcPr>
          <w:p w:rsidR="00D84B55" w:rsidRDefault="00D84B55">
            <w:pPr>
              <w:pStyle w:val="ConsPlusNormal"/>
            </w:pPr>
            <w:r>
              <w:t>N</w:t>
            </w:r>
          </w:p>
        </w:tc>
        <w:tc>
          <w:tcPr>
            <w:tcW w:w="2891" w:type="dxa"/>
          </w:tcPr>
          <w:p w:rsidR="00D84B55" w:rsidRDefault="00D84B55">
            <w:pPr>
              <w:pStyle w:val="ConsPlusNormal"/>
            </w:pPr>
            <w:r>
              <w:t>Сетевая организация N</w:t>
            </w:r>
          </w:p>
        </w:tc>
        <w:tc>
          <w:tcPr>
            <w:tcW w:w="1701" w:type="dxa"/>
          </w:tcPr>
          <w:p w:rsidR="00D84B55" w:rsidRDefault="00D84B55">
            <w:pPr>
              <w:pStyle w:val="ConsPlusNormal"/>
            </w:pPr>
          </w:p>
        </w:tc>
        <w:tc>
          <w:tcPr>
            <w:tcW w:w="1814" w:type="dxa"/>
          </w:tcPr>
          <w:p w:rsidR="00D84B55" w:rsidRDefault="00D84B55">
            <w:pPr>
              <w:pStyle w:val="ConsPlusNormal"/>
            </w:pPr>
          </w:p>
        </w:tc>
        <w:tc>
          <w:tcPr>
            <w:tcW w:w="2041" w:type="dxa"/>
          </w:tcPr>
          <w:p w:rsidR="00D84B55" w:rsidRDefault="00D84B55">
            <w:pPr>
              <w:pStyle w:val="ConsPlusNormal"/>
            </w:pPr>
          </w:p>
        </w:tc>
      </w:tr>
    </w:tbl>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jc w:val="right"/>
        <w:outlineLvl w:val="1"/>
      </w:pPr>
      <w:r>
        <w:t>Приложение N 5</w:t>
      </w:r>
    </w:p>
    <w:p w:rsidR="00D84B55" w:rsidRDefault="00D84B55">
      <w:pPr>
        <w:pStyle w:val="ConsPlusNormal"/>
        <w:jc w:val="right"/>
      </w:pPr>
      <w:r>
        <w:t>к Методическим указаниям</w:t>
      </w:r>
    </w:p>
    <w:p w:rsidR="00D84B55" w:rsidRDefault="00D84B55">
      <w:pPr>
        <w:pStyle w:val="ConsPlusNormal"/>
        <w:jc w:val="right"/>
      </w:pPr>
      <w:r>
        <w:t>по определению размера платы</w:t>
      </w:r>
    </w:p>
    <w:p w:rsidR="00D84B55" w:rsidRDefault="00D84B55">
      <w:pPr>
        <w:pStyle w:val="ConsPlusNormal"/>
        <w:jc w:val="right"/>
      </w:pPr>
      <w:r>
        <w:t>за технологическое присоединение</w:t>
      </w:r>
    </w:p>
    <w:p w:rsidR="00D84B55" w:rsidRDefault="00D84B55">
      <w:pPr>
        <w:pStyle w:val="ConsPlusNormal"/>
        <w:jc w:val="right"/>
      </w:pPr>
      <w:r>
        <w:t>к электрическим сетям</w:t>
      </w:r>
    </w:p>
    <w:p w:rsidR="00D84B55" w:rsidRDefault="00D84B55">
      <w:pPr>
        <w:pStyle w:val="ConsPlusNormal"/>
        <w:jc w:val="both"/>
      </w:pPr>
    </w:p>
    <w:p w:rsidR="00D84B55" w:rsidRDefault="00D84B55">
      <w:pPr>
        <w:pStyle w:val="ConsPlusTitle"/>
        <w:jc w:val="center"/>
      </w:pPr>
      <w:bookmarkStart w:id="26" w:name="P1013"/>
      <w:bookmarkEnd w:id="26"/>
      <w:r>
        <w:t>ПЕРЕЧЕНЬ СТАНДАРТИЗИРОВАННЫХ ТАРИФНЫХ СТАВОК</w:t>
      </w:r>
    </w:p>
    <w:p w:rsidR="00D84B55" w:rsidRDefault="00D84B55">
      <w:pPr>
        <w:pStyle w:val="ConsPlusNormal"/>
        <w:jc w:val="both"/>
      </w:pPr>
    </w:p>
    <w:p w:rsidR="00D84B55" w:rsidRDefault="00D84B55">
      <w:pPr>
        <w:pStyle w:val="ConsPlusNormal"/>
        <w:jc w:val="both"/>
      </w:pPr>
    </w:p>
    <w:p w:rsidR="00D84B55" w:rsidRDefault="00D84B55">
      <w:pPr>
        <w:pStyle w:val="ConsPlusNormal"/>
        <w:jc w:val="both"/>
      </w:pPr>
    </w:p>
    <w:p w:rsidR="00D84B55" w:rsidRDefault="00D84B55">
      <w:pPr>
        <w:pStyle w:val="ConsPlusNormal"/>
        <w:pBdr>
          <w:bottom w:val="single" w:sz="6" w:space="0" w:color="auto"/>
        </w:pBdr>
        <w:spacing w:before="100" w:after="100"/>
        <w:jc w:val="both"/>
        <w:rPr>
          <w:sz w:val="2"/>
          <w:szCs w:val="2"/>
        </w:rPr>
      </w:pPr>
    </w:p>
    <w:p w:rsidR="00621159" w:rsidRDefault="00621159">
      <w:bookmarkStart w:id="27" w:name="_GoBack"/>
      <w:bookmarkEnd w:id="27"/>
    </w:p>
    <w:sectPr w:rsidR="0062115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55"/>
    <w:rsid w:val="00621159"/>
    <w:rsid w:val="00D8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B5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84B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4B5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84B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4B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84B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4B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4B5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B5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84B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4B5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84B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4B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84B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4B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4B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7.wmf"/><Relationship Id="rId21" Type="http://schemas.openxmlformats.org/officeDocument/2006/relationships/hyperlink" Target="consultantplus://offline/ref=F87CC50D91DC63D90CFAEB15AEAD0B5C907DDF6BE837904F70A3566DDFD420FF32E6D24F4243422A40685E8C643BE0019EBB6EE46BEFO3J7K" TargetMode="External"/><Relationship Id="rId42" Type="http://schemas.openxmlformats.org/officeDocument/2006/relationships/hyperlink" Target="consultantplus://offline/ref=F87CC50D91DC63D90CFAEB15AEAD0B5C907DDB61E53F904F70A3566DDFD420FF32E6D24F4141412914324E882D6EE51F96AC70EF75EF3598O4J1K" TargetMode="External"/><Relationship Id="rId63" Type="http://schemas.openxmlformats.org/officeDocument/2006/relationships/image" Target="media/image25.wmf"/><Relationship Id="rId84" Type="http://schemas.openxmlformats.org/officeDocument/2006/relationships/image" Target="media/image44.wmf"/><Relationship Id="rId138" Type="http://schemas.openxmlformats.org/officeDocument/2006/relationships/image" Target="media/image98.wmf"/><Relationship Id="rId159" Type="http://schemas.openxmlformats.org/officeDocument/2006/relationships/image" Target="media/image115.wmf"/><Relationship Id="rId170" Type="http://schemas.openxmlformats.org/officeDocument/2006/relationships/image" Target="media/image126.wmf"/><Relationship Id="rId107" Type="http://schemas.openxmlformats.org/officeDocument/2006/relationships/image" Target="media/image67.wmf"/><Relationship Id="rId11" Type="http://schemas.openxmlformats.org/officeDocument/2006/relationships/hyperlink" Target="consultantplus://offline/ref=F87CC50D91DC63D90CFAEB15AEAD0B5C9777DE65EF39904F70A3566DDFD420FF20E68A4341485F211D2718D96BO3J9K" TargetMode="External"/><Relationship Id="rId32" Type="http://schemas.openxmlformats.org/officeDocument/2006/relationships/image" Target="media/image1.wmf"/><Relationship Id="rId53" Type="http://schemas.openxmlformats.org/officeDocument/2006/relationships/image" Target="media/image15.wmf"/><Relationship Id="rId74" Type="http://schemas.openxmlformats.org/officeDocument/2006/relationships/hyperlink" Target="consultantplus://offline/ref=F87CC50D91DC63D90CFAEB15AEAD0B5C977AD26BEF3A904F70A3566DDFD420FF32E6D24F4140422610324E882D6EE51F96AC70EF75EF3598O4J1K" TargetMode="External"/><Relationship Id="rId128" Type="http://schemas.openxmlformats.org/officeDocument/2006/relationships/image" Target="media/image88.wmf"/><Relationship Id="rId149" Type="http://schemas.openxmlformats.org/officeDocument/2006/relationships/hyperlink" Target="consultantplus://offline/ref=F87CC50D91DC63D90CFAEB15AEAD0B5C907DDF6BE837904F70A3566DDFD420FF32E6D24F4243412A40685E8C643BE0019EBB6EE46BEFO3J7K" TargetMode="External"/><Relationship Id="rId5" Type="http://schemas.openxmlformats.org/officeDocument/2006/relationships/hyperlink" Target="https://www.consultant.ru" TargetMode="External"/><Relationship Id="rId95" Type="http://schemas.openxmlformats.org/officeDocument/2006/relationships/image" Target="media/image55.wmf"/><Relationship Id="rId160" Type="http://schemas.openxmlformats.org/officeDocument/2006/relationships/image" Target="media/image116.wmf"/><Relationship Id="rId181" Type="http://schemas.openxmlformats.org/officeDocument/2006/relationships/image" Target="media/image137.wmf"/><Relationship Id="rId22" Type="http://schemas.openxmlformats.org/officeDocument/2006/relationships/hyperlink" Target="consultantplus://offline/ref=F87CC50D91DC63D90CFAEB15AEAD0B5C907DDF6BE837904F70A3566DDFD420FF32E6D24F4243422A40685E8C643BE0019EBB6EE46BEFO3J7K" TargetMode="External"/><Relationship Id="rId43" Type="http://schemas.openxmlformats.org/officeDocument/2006/relationships/image" Target="media/image5.wmf"/><Relationship Id="rId64" Type="http://schemas.openxmlformats.org/officeDocument/2006/relationships/image" Target="media/image26.wmf"/><Relationship Id="rId118" Type="http://schemas.openxmlformats.org/officeDocument/2006/relationships/image" Target="media/image78.wmf"/><Relationship Id="rId139" Type="http://schemas.openxmlformats.org/officeDocument/2006/relationships/image" Target="media/image99.wmf"/><Relationship Id="rId85" Type="http://schemas.openxmlformats.org/officeDocument/2006/relationships/image" Target="media/image45.wmf"/><Relationship Id="rId150" Type="http://schemas.openxmlformats.org/officeDocument/2006/relationships/image" Target="media/image107.wmf"/><Relationship Id="rId171" Type="http://schemas.openxmlformats.org/officeDocument/2006/relationships/image" Target="media/image127.wmf"/><Relationship Id="rId12" Type="http://schemas.openxmlformats.org/officeDocument/2006/relationships/hyperlink" Target="consultantplus://offline/ref=F87CC50D91DC63D90CFAEB15AEAD0B5C907FDF60EB3E904F70A3566DDFD420FF20E68A4341485F211D2718D96BO3J9K" TargetMode="External"/><Relationship Id="rId33" Type="http://schemas.openxmlformats.org/officeDocument/2006/relationships/image" Target="media/image2.wmf"/><Relationship Id="rId108" Type="http://schemas.openxmlformats.org/officeDocument/2006/relationships/image" Target="media/image68.wmf"/><Relationship Id="rId129" Type="http://schemas.openxmlformats.org/officeDocument/2006/relationships/image" Target="media/image89.wmf"/><Relationship Id="rId54" Type="http://schemas.openxmlformats.org/officeDocument/2006/relationships/image" Target="media/image16.wmf"/><Relationship Id="rId75" Type="http://schemas.openxmlformats.org/officeDocument/2006/relationships/image" Target="media/image36.wmf"/><Relationship Id="rId96" Type="http://schemas.openxmlformats.org/officeDocument/2006/relationships/image" Target="media/image56.wmf"/><Relationship Id="rId140" Type="http://schemas.openxmlformats.org/officeDocument/2006/relationships/image" Target="media/image100.wmf"/><Relationship Id="rId161" Type="http://schemas.openxmlformats.org/officeDocument/2006/relationships/image" Target="media/image117.wmf"/><Relationship Id="rId182" Type="http://schemas.openxmlformats.org/officeDocument/2006/relationships/hyperlink" Target="consultantplus://offline/ref=F87CC50D91DC63D90CFAEB15AEAD0B5C907DDF6BE837904F70A3566DDFD420FF32E6D24F4243412A40685E8C643BE0019EBB6EE46BEFO3J7K" TargetMode="External"/><Relationship Id="rId6" Type="http://schemas.openxmlformats.org/officeDocument/2006/relationships/hyperlink" Target="consultantplus://offline/ref=F87CC50D91DC63D90CFAEB15AEAD0B5C907FD365EA3B904F70A3566DDFD420FF32E6D24F4141402517324E882D6EE51F96AC70EF75EF3598O4J1K" TargetMode="External"/><Relationship Id="rId23" Type="http://schemas.openxmlformats.org/officeDocument/2006/relationships/hyperlink" Target="consultantplus://offline/ref=F87CC50D91DC63D90CFAEB15AEAD0B5C907DDB61E53F904F70A3566DDFD420FF32E6D24641474A75457D4FD46933F61F97AC72E669OEJFK" TargetMode="External"/><Relationship Id="rId119" Type="http://schemas.openxmlformats.org/officeDocument/2006/relationships/image" Target="media/image79.wmf"/><Relationship Id="rId44" Type="http://schemas.openxmlformats.org/officeDocument/2006/relationships/image" Target="media/image6.wmf"/><Relationship Id="rId65" Type="http://schemas.openxmlformats.org/officeDocument/2006/relationships/image" Target="media/image27.wmf"/><Relationship Id="rId86" Type="http://schemas.openxmlformats.org/officeDocument/2006/relationships/image" Target="media/image46.wmf"/><Relationship Id="rId130" Type="http://schemas.openxmlformats.org/officeDocument/2006/relationships/image" Target="media/image90.wmf"/><Relationship Id="rId151" Type="http://schemas.openxmlformats.org/officeDocument/2006/relationships/hyperlink" Target="consultantplus://offline/ref=F87CC50D91DC63D90CFAEB15AEAD0B5C907DDF6BE837904F70A3566DDFD420FF32E6D24F4243412A40685E8C643BE0019EBB6EE46BEFO3J7K" TargetMode="External"/><Relationship Id="rId172" Type="http://schemas.openxmlformats.org/officeDocument/2006/relationships/image" Target="media/image128.wmf"/><Relationship Id="rId13" Type="http://schemas.openxmlformats.org/officeDocument/2006/relationships/hyperlink" Target="consultantplus://offline/ref=F87CC50D91DC63D90CFAEB15AEAD0B5C907FDD61ED36904F70A3566DDFD420FF32E6D24D4341482A40685E8C643BE0019EBB6EE46BEFO3J7K" TargetMode="External"/><Relationship Id="rId18" Type="http://schemas.openxmlformats.org/officeDocument/2006/relationships/hyperlink" Target="consultantplus://offline/ref=F87CC50D91DC63D90CFAEB15AEAD0B5C907DDB61E53F904F70A3566DDFD420FF32E6D24F4141452817324E882D6EE51F96AC70EF75EF3598O4J1K" TargetMode="External"/><Relationship Id="rId39" Type="http://schemas.openxmlformats.org/officeDocument/2006/relationships/hyperlink" Target="consultantplus://offline/ref=F87CC50D91DC63D90CFAEB15AEAD0B5C907DDB61E53F904F70A3566DDFD420FF32E6D24F4141422110324E882D6EE51F96AC70EF75EF3598O4J1K" TargetMode="External"/><Relationship Id="rId109" Type="http://schemas.openxmlformats.org/officeDocument/2006/relationships/image" Target="media/image69.wmf"/><Relationship Id="rId34" Type="http://schemas.openxmlformats.org/officeDocument/2006/relationships/image" Target="media/image3.wmf"/><Relationship Id="rId50" Type="http://schemas.openxmlformats.org/officeDocument/2006/relationships/image" Target="media/image12.wmf"/><Relationship Id="rId55" Type="http://schemas.openxmlformats.org/officeDocument/2006/relationships/image" Target="media/image17.wmf"/><Relationship Id="rId76" Type="http://schemas.openxmlformats.org/officeDocument/2006/relationships/hyperlink" Target="consultantplus://offline/ref=F87CC50D91DC63D90CFAEB15AEAD0B5C977AD26BEF3A904F70A3566DDFD420FF32E6D24F4140422610324E882D6EE51F96AC70EF75EF3598O4J1K" TargetMode="External"/><Relationship Id="rId97" Type="http://schemas.openxmlformats.org/officeDocument/2006/relationships/image" Target="media/image57.wmf"/><Relationship Id="rId104" Type="http://schemas.openxmlformats.org/officeDocument/2006/relationships/image" Target="media/image64.wmf"/><Relationship Id="rId120" Type="http://schemas.openxmlformats.org/officeDocument/2006/relationships/image" Target="media/image80.wmf"/><Relationship Id="rId125" Type="http://schemas.openxmlformats.org/officeDocument/2006/relationships/image" Target="media/image85.wmf"/><Relationship Id="rId141" Type="http://schemas.openxmlformats.org/officeDocument/2006/relationships/image" Target="media/image101.wmf"/><Relationship Id="rId146" Type="http://schemas.openxmlformats.org/officeDocument/2006/relationships/image" Target="media/image105.wmf"/><Relationship Id="rId167" Type="http://schemas.openxmlformats.org/officeDocument/2006/relationships/image" Target="media/image123.wmf"/><Relationship Id="rId188" Type="http://schemas.openxmlformats.org/officeDocument/2006/relationships/hyperlink" Target="consultantplus://offline/ref=F87CC50D91DC63D90CFAEB15AEAD0B5C9779D86AE839904F70A3566DDFD420FF32E6D24F4140412014324E882D6EE51F96AC70EF75EF3598O4J1K" TargetMode="External"/><Relationship Id="rId7" Type="http://schemas.openxmlformats.org/officeDocument/2006/relationships/hyperlink" Target="consultantplus://offline/ref=F87CC50D91DC63D90CFAEB15AEAD0B5C907DDF6BE837904F70A3566DDFD420FF32E6D24F4242472A40685E8C643BE0019EBB6EE46BEFO3J7K" TargetMode="External"/><Relationship Id="rId71" Type="http://schemas.openxmlformats.org/officeDocument/2006/relationships/image" Target="media/image33.wmf"/><Relationship Id="rId92" Type="http://schemas.openxmlformats.org/officeDocument/2006/relationships/image" Target="media/image52.wmf"/><Relationship Id="rId162" Type="http://schemas.openxmlformats.org/officeDocument/2006/relationships/image" Target="media/image118.wmf"/><Relationship Id="rId183" Type="http://schemas.openxmlformats.org/officeDocument/2006/relationships/hyperlink" Target="consultantplus://offline/ref=F87CC50D91DC63D90CFAEB15AEAD0B5C907DDF6BE837904F70A3566DDFD420FF32E6D24F4243412A40685E8C643BE0019EBB6EE46BEFO3J7K" TargetMode="External"/><Relationship Id="rId2" Type="http://schemas.microsoft.com/office/2007/relationships/stylesWithEffects" Target="stylesWithEffects.xml"/><Relationship Id="rId29" Type="http://schemas.openxmlformats.org/officeDocument/2006/relationships/hyperlink" Target="consultantplus://offline/ref=F87CC50D91DC63D90CFAEB15AEAD0B5C907DDF6BE837904F70A3566DDFD420FF32E6D24F4243422A40685E8C643BE0019EBB6EE46BEFO3J7K" TargetMode="External"/><Relationship Id="rId24" Type="http://schemas.openxmlformats.org/officeDocument/2006/relationships/hyperlink" Target="consultantplus://offline/ref=F87CC50D91DC63D90CFAEB15AEAD0B5C907DDB61E53F904F70A3566DDFD420FF32E6D24F4141422110324E882D6EE51F96AC70EF75EF3598O4J1K" TargetMode="External"/><Relationship Id="rId40" Type="http://schemas.openxmlformats.org/officeDocument/2006/relationships/hyperlink" Target="consultantplus://offline/ref=F87CC50D91DC63D90CFAEB15AEAD0B5C907DDB61E53F904F70A3566DDFD420FF32E6D24C4447482A40685E8C643BE0019EBB6EE46BEFO3J7K" TargetMode="External"/><Relationship Id="rId45" Type="http://schemas.openxmlformats.org/officeDocument/2006/relationships/image" Target="media/image7.wmf"/><Relationship Id="rId66" Type="http://schemas.openxmlformats.org/officeDocument/2006/relationships/image" Target="media/image28.wmf"/><Relationship Id="rId87" Type="http://schemas.openxmlformats.org/officeDocument/2006/relationships/image" Target="media/image47.wmf"/><Relationship Id="rId110" Type="http://schemas.openxmlformats.org/officeDocument/2006/relationships/image" Target="media/image70.wmf"/><Relationship Id="rId115" Type="http://schemas.openxmlformats.org/officeDocument/2006/relationships/image" Target="media/image75.wmf"/><Relationship Id="rId131" Type="http://schemas.openxmlformats.org/officeDocument/2006/relationships/image" Target="media/image91.wmf"/><Relationship Id="rId136" Type="http://schemas.openxmlformats.org/officeDocument/2006/relationships/image" Target="media/image96.wmf"/><Relationship Id="rId157" Type="http://schemas.openxmlformats.org/officeDocument/2006/relationships/image" Target="media/image113.wmf"/><Relationship Id="rId178" Type="http://schemas.openxmlformats.org/officeDocument/2006/relationships/image" Target="media/image134.wmf"/><Relationship Id="rId61" Type="http://schemas.openxmlformats.org/officeDocument/2006/relationships/image" Target="media/image23.wmf"/><Relationship Id="rId82" Type="http://schemas.openxmlformats.org/officeDocument/2006/relationships/image" Target="media/image42.wmf"/><Relationship Id="rId152" Type="http://schemas.openxmlformats.org/officeDocument/2006/relationships/image" Target="media/image108.wmf"/><Relationship Id="rId173" Type="http://schemas.openxmlformats.org/officeDocument/2006/relationships/image" Target="media/image129.wmf"/><Relationship Id="rId19" Type="http://schemas.openxmlformats.org/officeDocument/2006/relationships/hyperlink" Target="consultantplus://offline/ref=F87CC50D91DC63D90CFAEB15AEAD0B5C907DDB61E53F904F70A3566DDFD420FF32E6D24F4141442115324E882D6EE51F96AC70EF75EF3598O4J1K" TargetMode="External"/><Relationship Id="rId14" Type="http://schemas.openxmlformats.org/officeDocument/2006/relationships/hyperlink" Target="consultantplus://offline/ref=F87CC50D91DC63D90CFAEB15AEAD0B5C907DDF6BE837904F70A3566DDFD420FF32E6D24F4243412A40685E8C643BE0019EBB6EE46BEFO3J7K" TargetMode="External"/><Relationship Id="rId30" Type="http://schemas.openxmlformats.org/officeDocument/2006/relationships/hyperlink" Target="consultantplus://offline/ref=F87CC50D91DC63D90CFAEB15AEAD0B5C9576DF66E93F904F70A3566DDFD420FF32E6D24F414041211D324E882D6EE51F96AC70EF75EF3598O4J1K" TargetMode="External"/><Relationship Id="rId35" Type="http://schemas.openxmlformats.org/officeDocument/2006/relationships/image" Target="media/image4.wmf"/><Relationship Id="rId56" Type="http://schemas.openxmlformats.org/officeDocument/2006/relationships/image" Target="media/image18.wmf"/><Relationship Id="rId77" Type="http://schemas.openxmlformats.org/officeDocument/2006/relationships/image" Target="media/image37.wmf"/><Relationship Id="rId100" Type="http://schemas.openxmlformats.org/officeDocument/2006/relationships/image" Target="media/image60.wmf"/><Relationship Id="rId105" Type="http://schemas.openxmlformats.org/officeDocument/2006/relationships/image" Target="media/image65.wmf"/><Relationship Id="rId126" Type="http://schemas.openxmlformats.org/officeDocument/2006/relationships/image" Target="media/image86.wmf"/><Relationship Id="rId147" Type="http://schemas.openxmlformats.org/officeDocument/2006/relationships/hyperlink" Target="consultantplus://offline/ref=F87CC50D91DC63D90CFAEB15AEAD0B5C907DDF6BE837904F70A3566DDFD420FF32E6D24F4243412A40685E8C643BE0019EBB6EE46BEFO3J7K" TargetMode="External"/><Relationship Id="rId168" Type="http://schemas.openxmlformats.org/officeDocument/2006/relationships/image" Target="media/image124.wmf"/><Relationship Id="rId8" Type="http://schemas.openxmlformats.org/officeDocument/2006/relationships/hyperlink" Target="consultantplus://offline/ref=F87CC50D91DC63D90CFAEB15AEAD0B5C907FDF65E83B904F70A3566DDFD420FF20E68A4341485F211D2718D96BO3J9K" TargetMode="External"/><Relationship Id="rId51" Type="http://schemas.openxmlformats.org/officeDocument/2006/relationships/image" Target="media/image13.wmf"/><Relationship Id="rId72" Type="http://schemas.openxmlformats.org/officeDocument/2006/relationships/image" Target="media/image34.wmf"/><Relationship Id="rId93" Type="http://schemas.openxmlformats.org/officeDocument/2006/relationships/image" Target="media/image53.wmf"/><Relationship Id="rId98" Type="http://schemas.openxmlformats.org/officeDocument/2006/relationships/image" Target="media/image58.wmf"/><Relationship Id="rId121" Type="http://schemas.openxmlformats.org/officeDocument/2006/relationships/image" Target="media/image81.wmf"/><Relationship Id="rId142" Type="http://schemas.openxmlformats.org/officeDocument/2006/relationships/image" Target="media/image102.wmf"/><Relationship Id="rId163" Type="http://schemas.openxmlformats.org/officeDocument/2006/relationships/image" Target="media/image119.wmf"/><Relationship Id="rId184" Type="http://schemas.openxmlformats.org/officeDocument/2006/relationships/hyperlink" Target="consultantplus://offline/ref=F87CC50D91DC63D90CFAEB15AEAD0B5C907DDF6BE837904F70A3566DDFD420FF32E6D24F4243412A40685E8C643BE0019EBB6EE46BEFO3J7K"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F87CC50D91DC63D90CFAEB15AEAD0B5C907DDB61E53F904F70A3566DDFD420FF32E6D24C4447482A40685E8C643BE0019EBB6EE46BEFO3J7K" TargetMode="External"/><Relationship Id="rId46" Type="http://schemas.openxmlformats.org/officeDocument/2006/relationships/image" Target="media/image8.wmf"/><Relationship Id="rId67" Type="http://schemas.openxmlformats.org/officeDocument/2006/relationships/image" Target="media/image29.wmf"/><Relationship Id="rId116" Type="http://schemas.openxmlformats.org/officeDocument/2006/relationships/image" Target="media/image76.wmf"/><Relationship Id="rId137" Type="http://schemas.openxmlformats.org/officeDocument/2006/relationships/image" Target="media/image97.wmf"/><Relationship Id="rId158" Type="http://schemas.openxmlformats.org/officeDocument/2006/relationships/image" Target="media/image114.wmf"/><Relationship Id="rId20" Type="http://schemas.openxmlformats.org/officeDocument/2006/relationships/hyperlink" Target="consultantplus://offline/ref=F87CC50D91DC63D90CFAEB15AEAD0B5C907DDB61E53F904F70A3566DDFD420FF32E6D24F4141422110324E882D6EE51F96AC70EF75EF3598O4J1K" TargetMode="External"/><Relationship Id="rId41" Type="http://schemas.openxmlformats.org/officeDocument/2006/relationships/hyperlink" Target="consultantplus://offline/ref=F87CC50D91DC63D90CFAEB15AEAD0B5C907DDB61E53F904F70A3566DDFD420FF32E6D24C4449492A40685E8C643BE0019EBB6EE46BEFO3J7K" TargetMode="External"/><Relationship Id="rId62" Type="http://schemas.openxmlformats.org/officeDocument/2006/relationships/image" Target="media/image24.wmf"/><Relationship Id="rId83" Type="http://schemas.openxmlformats.org/officeDocument/2006/relationships/image" Target="media/image43.wmf"/><Relationship Id="rId88" Type="http://schemas.openxmlformats.org/officeDocument/2006/relationships/image" Target="media/image48.wmf"/><Relationship Id="rId111" Type="http://schemas.openxmlformats.org/officeDocument/2006/relationships/image" Target="media/image71.wmf"/><Relationship Id="rId132" Type="http://schemas.openxmlformats.org/officeDocument/2006/relationships/image" Target="media/image92.wmf"/><Relationship Id="rId153" Type="http://schemas.openxmlformats.org/officeDocument/2006/relationships/image" Target="media/image109.wmf"/><Relationship Id="rId174" Type="http://schemas.openxmlformats.org/officeDocument/2006/relationships/image" Target="media/image130.wmf"/><Relationship Id="rId179" Type="http://schemas.openxmlformats.org/officeDocument/2006/relationships/image" Target="media/image135.wmf"/><Relationship Id="rId190" Type="http://schemas.openxmlformats.org/officeDocument/2006/relationships/theme" Target="theme/theme1.xml"/><Relationship Id="rId15" Type="http://schemas.openxmlformats.org/officeDocument/2006/relationships/hyperlink" Target="consultantplus://offline/ref=F87CC50D91DC63D90CFAEB15AEAD0B5C907DDB61E53F904F70A3566DDFD420FF32E6D24D494B1570506C17D96125E81680B070E4O6J9K" TargetMode="External"/><Relationship Id="rId36" Type="http://schemas.openxmlformats.org/officeDocument/2006/relationships/hyperlink" Target="consultantplus://offline/ref=F87CC50D91DC63D90CFAEB15AEAD0B5C907DDB61E53F904F70A3566DDFD420FF32E6D24F4141452411324E882D6EE51F96AC70EF75EF3598O4J1K" TargetMode="External"/><Relationship Id="rId57" Type="http://schemas.openxmlformats.org/officeDocument/2006/relationships/image" Target="media/image19.wmf"/><Relationship Id="rId106" Type="http://schemas.openxmlformats.org/officeDocument/2006/relationships/image" Target="media/image66.wmf"/><Relationship Id="rId127" Type="http://schemas.openxmlformats.org/officeDocument/2006/relationships/image" Target="media/image87.wmf"/><Relationship Id="rId10" Type="http://schemas.openxmlformats.org/officeDocument/2006/relationships/hyperlink" Target="consultantplus://offline/ref=F87CC50D91DC63D90CFAEB15AEAD0B5C977AD267EB3F904F70A3566DDFD420FF20E68A4341485F211D2718D96BO3J9K" TargetMode="External"/><Relationship Id="rId31" Type="http://schemas.openxmlformats.org/officeDocument/2006/relationships/hyperlink" Target="consultantplus://offline/ref=F87CC50D91DC63D90CFAEB15AEAD0B5C907DDB61E53F904F70A3566DDFD420FF32E6D24F4140492913324E882D6EE51F96AC70EF75EF3598O4J1K" TargetMode="External"/><Relationship Id="rId52" Type="http://schemas.openxmlformats.org/officeDocument/2006/relationships/image" Target="media/image14.wmf"/><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image" Target="media/image54.wmf"/><Relationship Id="rId99" Type="http://schemas.openxmlformats.org/officeDocument/2006/relationships/image" Target="media/image59.wmf"/><Relationship Id="rId101" Type="http://schemas.openxmlformats.org/officeDocument/2006/relationships/image" Target="media/image61.wmf"/><Relationship Id="rId122" Type="http://schemas.openxmlformats.org/officeDocument/2006/relationships/image" Target="media/image82.wmf"/><Relationship Id="rId143" Type="http://schemas.openxmlformats.org/officeDocument/2006/relationships/image" Target="media/image103.wmf"/><Relationship Id="rId148" Type="http://schemas.openxmlformats.org/officeDocument/2006/relationships/image" Target="media/image106.wmf"/><Relationship Id="rId164" Type="http://schemas.openxmlformats.org/officeDocument/2006/relationships/image" Target="media/image120.wmf"/><Relationship Id="rId169" Type="http://schemas.openxmlformats.org/officeDocument/2006/relationships/image" Target="media/image125.wmf"/><Relationship Id="rId185" Type="http://schemas.openxmlformats.org/officeDocument/2006/relationships/hyperlink" Target="consultantplus://offline/ref=F87CC50D91DC63D90CFAEB15AEAD0B5C907DDB61E53F904F70A3566DDFD420FF32E6D24D4042472A40685E8C643BE0019EBB6EE46BEFO3J7K" TargetMode="External"/><Relationship Id="rId4" Type="http://schemas.openxmlformats.org/officeDocument/2006/relationships/webSettings" Target="webSettings.xml"/><Relationship Id="rId9" Type="http://schemas.openxmlformats.org/officeDocument/2006/relationships/hyperlink" Target="consultantplus://offline/ref=F87CC50D91DC63D90CFAEB15AEAD0B5C977ADF61E838904F70A3566DDFD420FF20E68A4341485F211D2718D96BO3J9K" TargetMode="External"/><Relationship Id="rId180" Type="http://schemas.openxmlformats.org/officeDocument/2006/relationships/image" Target="media/image136.wmf"/><Relationship Id="rId26" Type="http://schemas.openxmlformats.org/officeDocument/2006/relationships/hyperlink" Target="consultantplus://offline/ref=F87CC50D91DC63D90CFAEB15AEAD0B5C907DDB61E53F904F70A3566DDFD420FF32E6D24C4449492A40685E8C643BE0019EBB6EE46BEFO3J7K" TargetMode="External"/><Relationship Id="rId47" Type="http://schemas.openxmlformats.org/officeDocument/2006/relationships/image" Target="media/image9.wmf"/><Relationship Id="rId68" Type="http://schemas.openxmlformats.org/officeDocument/2006/relationships/image" Target="media/image30.wmf"/><Relationship Id="rId89" Type="http://schemas.openxmlformats.org/officeDocument/2006/relationships/image" Target="media/image49.wmf"/><Relationship Id="rId112" Type="http://schemas.openxmlformats.org/officeDocument/2006/relationships/image" Target="media/image72.wmf"/><Relationship Id="rId133" Type="http://schemas.openxmlformats.org/officeDocument/2006/relationships/image" Target="media/image93.wmf"/><Relationship Id="rId154" Type="http://schemas.openxmlformats.org/officeDocument/2006/relationships/image" Target="media/image110.wmf"/><Relationship Id="rId175" Type="http://schemas.openxmlformats.org/officeDocument/2006/relationships/image" Target="media/image131.wmf"/><Relationship Id="rId16" Type="http://schemas.openxmlformats.org/officeDocument/2006/relationships/hyperlink" Target="consultantplus://offline/ref=F87CC50D91DC63D90CFAEB15AEAD0B5C907DDB61E53F904F70A3566DDFD420FF32E6D24F4141452817324E882D6EE51F96AC70EF75EF3598O4J1K" TargetMode="External"/><Relationship Id="rId37" Type="http://schemas.openxmlformats.org/officeDocument/2006/relationships/hyperlink" Target="consultantplus://offline/ref=F87CC50D91DC63D90CFAEB15AEAD0B5C907DDB61E53F904F70A3566DDFD420FF32E6D24F4141452412324E882D6EE51F96AC70EF75EF3598O4J1K" TargetMode="External"/><Relationship Id="rId58" Type="http://schemas.openxmlformats.org/officeDocument/2006/relationships/image" Target="media/image20.wmf"/><Relationship Id="rId79" Type="http://schemas.openxmlformats.org/officeDocument/2006/relationships/image" Target="media/image39.wmf"/><Relationship Id="rId102" Type="http://schemas.openxmlformats.org/officeDocument/2006/relationships/image" Target="media/image62.wmf"/><Relationship Id="rId123" Type="http://schemas.openxmlformats.org/officeDocument/2006/relationships/image" Target="media/image83.wmf"/><Relationship Id="rId144" Type="http://schemas.openxmlformats.org/officeDocument/2006/relationships/image" Target="media/image104.wmf"/><Relationship Id="rId90" Type="http://schemas.openxmlformats.org/officeDocument/2006/relationships/image" Target="media/image50.wmf"/><Relationship Id="rId165" Type="http://schemas.openxmlformats.org/officeDocument/2006/relationships/image" Target="media/image121.wmf"/><Relationship Id="rId186" Type="http://schemas.openxmlformats.org/officeDocument/2006/relationships/hyperlink" Target="consultantplus://offline/ref=F87CC50D91DC63D90CFAEB15AEAD0B5C907DDB61E53F904F70A3566DDFD420FF32E6D24D4043402A40685E8C643BE0019EBB6EE46BEFO3J7K" TargetMode="External"/><Relationship Id="rId27" Type="http://schemas.openxmlformats.org/officeDocument/2006/relationships/hyperlink" Target="consultantplus://offline/ref=F87CC50D91DC63D90CFAEB15AEAD0B5C907DDB61E53F904F70A3566DDFD420FF32E6D24F4141412914324E882D6EE51F96AC70EF75EF3598O4J1K" TargetMode="External"/><Relationship Id="rId48" Type="http://schemas.openxmlformats.org/officeDocument/2006/relationships/image" Target="media/image10.wmf"/><Relationship Id="rId69" Type="http://schemas.openxmlformats.org/officeDocument/2006/relationships/image" Target="media/image31.wmf"/><Relationship Id="rId113" Type="http://schemas.openxmlformats.org/officeDocument/2006/relationships/image" Target="media/image73.wmf"/><Relationship Id="rId134" Type="http://schemas.openxmlformats.org/officeDocument/2006/relationships/image" Target="media/image94.wmf"/><Relationship Id="rId80" Type="http://schemas.openxmlformats.org/officeDocument/2006/relationships/image" Target="media/image40.wmf"/><Relationship Id="rId155" Type="http://schemas.openxmlformats.org/officeDocument/2006/relationships/image" Target="media/image111.wmf"/><Relationship Id="rId176" Type="http://schemas.openxmlformats.org/officeDocument/2006/relationships/image" Target="media/image132.wmf"/><Relationship Id="rId17" Type="http://schemas.openxmlformats.org/officeDocument/2006/relationships/hyperlink" Target="consultantplus://offline/ref=F87CC50D91DC63D90CFAEB15AEAD0B5C907DDB61E53F904F70A3566DDFD420FF32E6D24F4141442115324E882D6EE51F96AC70EF75EF3598O4J1K" TargetMode="External"/><Relationship Id="rId38" Type="http://schemas.openxmlformats.org/officeDocument/2006/relationships/hyperlink" Target="consultantplus://offline/ref=F87CC50D91DC63D90CFAEB15AEAD0B5C907DDF6BE837904F70A3566DDFD420FF32E6D24F4243422A40685E8C643BE0019EBB6EE46BEFO3J7K" TargetMode="External"/><Relationship Id="rId59" Type="http://schemas.openxmlformats.org/officeDocument/2006/relationships/image" Target="media/image21.wmf"/><Relationship Id="rId103" Type="http://schemas.openxmlformats.org/officeDocument/2006/relationships/image" Target="media/image63.wmf"/><Relationship Id="rId124" Type="http://schemas.openxmlformats.org/officeDocument/2006/relationships/image" Target="media/image84.wmf"/><Relationship Id="rId70" Type="http://schemas.openxmlformats.org/officeDocument/2006/relationships/image" Target="media/image32.wmf"/><Relationship Id="rId91" Type="http://schemas.openxmlformats.org/officeDocument/2006/relationships/image" Target="media/image51.wmf"/><Relationship Id="rId145" Type="http://schemas.openxmlformats.org/officeDocument/2006/relationships/hyperlink" Target="consultantplus://offline/ref=F87CC50D91DC63D90CFAEB15AEAD0B5C907DDF6BE837904F70A3566DDFD420FF32E6D24F4243412A40685E8C643BE0019EBB6EE46BEFO3J7K" TargetMode="External"/><Relationship Id="rId166" Type="http://schemas.openxmlformats.org/officeDocument/2006/relationships/image" Target="media/image122.wmf"/><Relationship Id="rId187" Type="http://schemas.openxmlformats.org/officeDocument/2006/relationships/hyperlink" Target="consultantplus://offline/ref=F87CC50D91DC63D90CFAEB15AEAD0B5C907DDB61E53F904F70A3566DDFD420FF32E6D24C4543422A40685E8C643BE0019EBB6EE46BEFO3J7K" TargetMode="External"/><Relationship Id="rId1" Type="http://schemas.openxmlformats.org/officeDocument/2006/relationships/styles" Target="styles.xml"/><Relationship Id="rId28" Type="http://schemas.openxmlformats.org/officeDocument/2006/relationships/hyperlink" Target="consultantplus://offline/ref=F87CC50D91DC63D90CFAEB15AEAD0B5C907DDF6BE837904F70A3566DDFD420FF32E6D24C49474A75457D4FD46933F61F97AC72E669OEJFK" TargetMode="External"/><Relationship Id="rId49" Type="http://schemas.openxmlformats.org/officeDocument/2006/relationships/image" Target="media/image11.wmf"/><Relationship Id="rId114" Type="http://schemas.openxmlformats.org/officeDocument/2006/relationships/image" Target="media/image74.wmf"/><Relationship Id="rId60" Type="http://schemas.openxmlformats.org/officeDocument/2006/relationships/image" Target="media/image22.wmf"/><Relationship Id="rId81" Type="http://schemas.openxmlformats.org/officeDocument/2006/relationships/image" Target="media/image41.wmf"/><Relationship Id="rId135" Type="http://schemas.openxmlformats.org/officeDocument/2006/relationships/image" Target="media/image95.wmf"/><Relationship Id="rId156" Type="http://schemas.openxmlformats.org/officeDocument/2006/relationships/image" Target="media/image112.wmf"/><Relationship Id="rId177" Type="http://schemas.openxmlformats.org/officeDocument/2006/relationships/image" Target="media/image1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15997</Words>
  <Characters>91189</Characters>
  <Application>Microsoft Office Word</Application>
  <DocSecurity>0</DocSecurity>
  <Lines>759</Lines>
  <Paragraphs>213</Paragraphs>
  <ScaleCrop>false</ScaleCrop>
  <Company/>
  <LinksUpToDate>false</LinksUpToDate>
  <CharactersWithSpaces>106973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cp:revision>
  <dcterms:created xsi:type="dcterms:W3CDTF">2022-09-08T10:09:00Z</dcterms:created>
  <dcterms:modified xsi:type="dcterms:W3CDTF">2022-09-08T10:10:00Z</dcterms:modified>
</cp:coreProperties>
</file>